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E97BA" w14:textId="0B9F8FB1" w:rsidR="002F09CE" w:rsidRPr="003D7A9E" w:rsidRDefault="002F09CE" w:rsidP="002F09CE">
      <w:pPr>
        <w:spacing w:after="0" w:line="300" w:lineRule="auto"/>
        <w:jc w:val="both"/>
        <w:rPr>
          <w:rFonts w:ascii="Arial" w:hAnsi="Arial" w:cs="Arial"/>
          <w:b/>
          <w:bCs/>
        </w:rPr>
      </w:pPr>
      <w:r w:rsidRPr="003D7A9E">
        <w:rPr>
          <w:rFonts w:ascii="Arial" w:hAnsi="Arial" w:cs="Arial"/>
          <w:b/>
          <w:bCs/>
        </w:rPr>
        <w:t xml:space="preserve">Biasetti et al. </w:t>
      </w:r>
      <w:r w:rsidRPr="003D7A9E">
        <w:rPr>
          <w:rFonts w:ascii="Arial" w:hAnsi="Arial" w:cs="Arial"/>
          <w:b/>
          <w:bCs/>
        </w:rPr>
        <w:t>Elevated amyloid beta disrupts the nanoscale</w:t>
      </w:r>
      <w:r w:rsidRPr="003D7A9E">
        <w:rPr>
          <w:rFonts w:ascii="Arial" w:hAnsi="Arial" w:cs="Arial"/>
          <w:b/>
          <w:bCs/>
        </w:rPr>
        <w:t xml:space="preserve"> </w:t>
      </w:r>
      <w:r w:rsidRPr="003D7A9E">
        <w:rPr>
          <w:rFonts w:ascii="Arial" w:hAnsi="Arial" w:cs="Arial"/>
          <w:b/>
          <w:bCs/>
        </w:rPr>
        <w:t>organization and function</w:t>
      </w:r>
      <w:r w:rsidRPr="003D7A9E">
        <w:rPr>
          <w:rFonts w:ascii="Arial" w:hAnsi="Arial" w:cs="Arial"/>
          <w:b/>
          <w:bCs/>
        </w:rPr>
        <w:t xml:space="preserve"> </w:t>
      </w:r>
      <w:r w:rsidRPr="003D7A9E">
        <w:rPr>
          <w:rFonts w:ascii="Arial" w:hAnsi="Arial" w:cs="Arial"/>
          <w:b/>
          <w:bCs/>
        </w:rPr>
        <w:t>of synaptic vesicle pools in</w:t>
      </w:r>
      <w:r w:rsidRPr="003D7A9E">
        <w:rPr>
          <w:rFonts w:ascii="Arial" w:hAnsi="Arial" w:cs="Arial"/>
          <w:b/>
          <w:bCs/>
        </w:rPr>
        <w:t xml:space="preserve"> </w:t>
      </w:r>
      <w:r w:rsidRPr="003D7A9E">
        <w:rPr>
          <w:rFonts w:ascii="Arial" w:hAnsi="Arial" w:cs="Arial"/>
          <w:b/>
          <w:bCs/>
        </w:rPr>
        <w:t>hippocampal neurons</w:t>
      </w:r>
      <w:r w:rsidRPr="003D7A9E">
        <w:rPr>
          <w:rFonts w:ascii="Arial" w:hAnsi="Arial" w:cs="Arial"/>
          <w:b/>
          <w:bCs/>
        </w:rPr>
        <w:t>.</w:t>
      </w:r>
    </w:p>
    <w:p w14:paraId="035839F8" w14:textId="77777777" w:rsidR="002F09CE" w:rsidRDefault="002F09CE" w:rsidP="002F09CE">
      <w:pPr>
        <w:spacing w:after="0" w:line="300" w:lineRule="auto"/>
        <w:jc w:val="both"/>
        <w:rPr>
          <w:rFonts w:ascii="Arial" w:hAnsi="Arial" w:cs="Arial"/>
          <w:b/>
          <w:bCs/>
          <w:color w:val="2F5496" w:themeColor="accent1" w:themeShade="BF"/>
        </w:rPr>
      </w:pPr>
    </w:p>
    <w:p w14:paraId="01221247" w14:textId="1563FC31" w:rsidR="002F09CE" w:rsidRPr="002F09CE" w:rsidRDefault="002F09CE" w:rsidP="002F09CE">
      <w:pPr>
        <w:spacing w:after="0" w:line="300" w:lineRule="auto"/>
        <w:jc w:val="both"/>
        <w:rPr>
          <w:rFonts w:ascii="Arial" w:hAnsi="Arial" w:cs="Arial"/>
          <w:b/>
          <w:bCs/>
          <w:color w:val="2F5496" w:themeColor="accent1" w:themeShade="BF"/>
        </w:rPr>
      </w:pPr>
      <w:r w:rsidRPr="002F09CE">
        <w:rPr>
          <w:rFonts w:ascii="Arial" w:hAnsi="Arial" w:cs="Arial"/>
          <w:b/>
          <w:bCs/>
          <w:color w:val="2F5496" w:themeColor="accent1" w:themeShade="BF"/>
        </w:rPr>
        <w:t xml:space="preserve">Rationale for </w:t>
      </w:r>
      <w:proofErr w:type="spellStart"/>
      <w:r w:rsidRPr="002F09CE">
        <w:rPr>
          <w:rFonts w:ascii="Arial" w:hAnsi="Arial" w:cs="Arial"/>
          <w:b/>
          <w:bCs/>
          <w:color w:val="2F5496" w:themeColor="accent1" w:themeShade="BF"/>
        </w:rPr>
        <w:t>iGluSnFR</w:t>
      </w:r>
      <w:proofErr w:type="spellEnd"/>
      <w:r w:rsidRPr="002F09CE">
        <w:rPr>
          <w:rFonts w:ascii="Arial" w:hAnsi="Arial" w:cs="Arial"/>
          <w:b/>
          <w:bCs/>
          <w:color w:val="2F5496" w:themeColor="accent1" w:themeShade="BF"/>
        </w:rPr>
        <w:t xml:space="preserve"> experiment with pre-stimulation.</w:t>
      </w:r>
    </w:p>
    <w:p w14:paraId="6A7594A7" w14:textId="724E4333" w:rsidR="002F09CE" w:rsidRDefault="002F09CE" w:rsidP="002F09CE">
      <w:pPr>
        <w:spacing w:after="0" w:line="300" w:lineRule="auto"/>
        <w:jc w:val="both"/>
        <w:rPr>
          <w:rFonts w:ascii="Arial" w:hAnsi="Arial" w:cs="Arial"/>
          <w:color w:val="2F5496" w:themeColor="accent1" w:themeShade="BF"/>
        </w:rPr>
      </w:pPr>
      <w:r w:rsidRPr="00E17782">
        <w:rPr>
          <w:rFonts w:ascii="Arial" w:hAnsi="Arial" w:cs="Arial"/>
          <w:color w:val="2F5496" w:themeColor="accent1" w:themeShade="BF"/>
        </w:rPr>
        <w:t xml:space="preserve">The aim of the experimental protocol (repeated bouts of 5 s stimulation at 2 Hz, and 5 s rest) was to put neurons under an activity load that was broadly compatible with strong physiological firing rates and </w:t>
      </w:r>
      <w:r>
        <w:rPr>
          <w:rFonts w:ascii="Arial" w:hAnsi="Arial" w:cs="Arial"/>
          <w:color w:val="2F5496" w:themeColor="accent1" w:themeShade="BF"/>
        </w:rPr>
        <w:t>where</w:t>
      </w:r>
      <w:r w:rsidRPr="00E17782">
        <w:rPr>
          <w:rFonts w:ascii="Arial" w:hAnsi="Arial" w:cs="Arial"/>
          <w:color w:val="2F5496" w:themeColor="accent1" w:themeShade="BF"/>
        </w:rPr>
        <w:t xml:space="preserve"> the capacity for sustained signalling would thus likely depend, at least in part, on the efficiency of vesicle recycling pathways. In this way we could explore how the presence of Aβ42 might impact these processes and influence transmission capacity. For this reason, the </w:t>
      </w:r>
      <w:proofErr w:type="spellStart"/>
      <w:r w:rsidRPr="00E17782">
        <w:rPr>
          <w:rFonts w:ascii="Arial" w:hAnsi="Arial" w:cs="Arial"/>
          <w:color w:val="2F5496" w:themeColor="accent1" w:themeShade="BF"/>
        </w:rPr>
        <w:t>iGluSnFR</w:t>
      </w:r>
      <w:proofErr w:type="spellEnd"/>
      <w:r w:rsidRPr="00E17782">
        <w:rPr>
          <w:rFonts w:ascii="Arial" w:hAnsi="Arial" w:cs="Arial"/>
          <w:color w:val="2F5496" w:themeColor="accent1" w:themeShade="BF"/>
        </w:rPr>
        <w:t xml:space="preserve"> experiments in the paper (Figure 5) all used this pre-stimulation protocol. It is possible, however, that even in the absence of pre-stimulation, Aβ-related deficits on transmission would be observable, for example reflecting the cumulative effects of prior activity in the network. This was tested in a few pilot experiments that were run alongside the pre-stimulation experiment</w:t>
      </w:r>
      <w:r>
        <w:rPr>
          <w:rFonts w:ascii="Arial" w:hAnsi="Arial" w:cs="Arial"/>
          <w:color w:val="2F5496" w:themeColor="accent1" w:themeShade="BF"/>
        </w:rPr>
        <w:t>s</w:t>
      </w:r>
      <w:r w:rsidRPr="00E17782">
        <w:rPr>
          <w:rFonts w:ascii="Arial" w:hAnsi="Arial" w:cs="Arial"/>
          <w:color w:val="2F5496" w:themeColor="accent1" w:themeShade="BF"/>
        </w:rPr>
        <w:t xml:space="preserve"> </w:t>
      </w:r>
      <w:r>
        <w:rPr>
          <w:rFonts w:ascii="Arial" w:hAnsi="Arial" w:cs="Arial"/>
          <w:color w:val="2F5496" w:themeColor="accent1" w:themeShade="BF"/>
        </w:rPr>
        <w:t xml:space="preserve">and </w:t>
      </w:r>
      <w:r>
        <w:rPr>
          <w:rFonts w:ascii="Arial" w:hAnsi="Arial" w:cs="Arial"/>
          <w:color w:val="2F5496" w:themeColor="accent1" w:themeShade="BF"/>
        </w:rPr>
        <w:t>are summarized in the supporting figure below.</w:t>
      </w:r>
      <w:r w:rsidRPr="00E17782">
        <w:rPr>
          <w:rFonts w:ascii="Arial" w:hAnsi="Arial" w:cs="Arial"/>
          <w:color w:val="2F5496" w:themeColor="accent1" w:themeShade="BF"/>
        </w:rPr>
        <w:t xml:space="preserve"> As expected, initial response amplitudes in th</w:t>
      </w:r>
      <w:r>
        <w:rPr>
          <w:rFonts w:ascii="Arial" w:hAnsi="Arial" w:cs="Arial"/>
          <w:color w:val="2F5496" w:themeColor="accent1" w:themeShade="BF"/>
        </w:rPr>
        <w:t>is</w:t>
      </w:r>
      <w:r w:rsidRPr="00E17782">
        <w:rPr>
          <w:rFonts w:ascii="Arial" w:hAnsi="Arial" w:cs="Arial"/>
          <w:color w:val="2F5496" w:themeColor="accent1" w:themeShade="BF"/>
        </w:rPr>
        <w:t xml:space="preserve"> non</w:t>
      </w:r>
      <w:r>
        <w:rPr>
          <w:rFonts w:ascii="Arial" w:hAnsi="Arial" w:cs="Arial"/>
          <w:color w:val="2F5496" w:themeColor="accent1" w:themeShade="BF"/>
        </w:rPr>
        <w:t xml:space="preserve"> pre</w:t>
      </w:r>
      <w:r w:rsidRPr="00E17782">
        <w:rPr>
          <w:rFonts w:ascii="Arial" w:hAnsi="Arial" w:cs="Arial"/>
          <w:color w:val="2F5496" w:themeColor="accent1" w:themeShade="BF"/>
        </w:rPr>
        <w:t xml:space="preserve">-stimulation condition were higher in both control and Aβ42-treated samples, consistent with the idea that imposed prior stimulation </w:t>
      </w:r>
      <w:r>
        <w:rPr>
          <w:rFonts w:ascii="Arial" w:hAnsi="Arial" w:cs="Arial"/>
          <w:color w:val="2F5496" w:themeColor="accent1" w:themeShade="BF"/>
        </w:rPr>
        <w:t xml:space="preserve">will </w:t>
      </w:r>
      <w:r w:rsidRPr="00E17782">
        <w:rPr>
          <w:rFonts w:ascii="Arial" w:hAnsi="Arial" w:cs="Arial"/>
          <w:color w:val="2F5496" w:themeColor="accent1" w:themeShade="BF"/>
        </w:rPr>
        <w:t>inevitably impact on transmission. Analogous to the pre-stimulation protocol experiments, there was also a maintained reduction in response amplitude in Aβ42-treated synapses relative to matched controls, supporting our observation that Aβ impacts ongoing signalling capacity. This supports the idea - raised in the Discussion - that Aβ42 treatment might serve to uncouple vesicle turnover from glutamate filling/release, something deserv</w:t>
      </w:r>
      <w:r>
        <w:rPr>
          <w:rFonts w:ascii="Arial" w:hAnsi="Arial" w:cs="Arial"/>
          <w:color w:val="2F5496" w:themeColor="accent1" w:themeShade="BF"/>
        </w:rPr>
        <w:t>ing</w:t>
      </w:r>
      <w:r w:rsidRPr="00E17782">
        <w:rPr>
          <w:rFonts w:ascii="Arial" w:hAnsi="Arial" w:cs="Arial"/>
          <w:color w:val="2F5496" w:themeColor="accent1" w:themeShade="BF"/>
        </w:rPr>
        <w:t xml:space="preserve"> further investigation in future work.</w:t>
      </w:r>
    </w:p>
    <w:p w14:paraId="4937ACF1" w14:textId="00D77F70" w:rsidR="00651092" w:rsidRDefault="00651092"/>
    <w:p w14:paraId="68D527C1" w14:textId="535466F3" w:rsidR="002F09CE" w:rsidRDefault="002F09CE"/>
    <w:p w14:paraId="789F0ECD" w14:textId="66409AD1" w:rsidR="002F09CE" w:rsidRDefault="002F09CE">
      <w:r w:rsidRPr="00382CE7">
        <w:rPr>
          <w:rFonts w:ascii="Arial" w:hAnsi="Arial" w:cs="Arial"/>
          <w:noProof/>
        </w:rPr>
        <w:drawing>
          <wp:anchor distT="0" distB="0" distL="114300" distR="114300" simplePos="0" relativeHeight="251659264" behindDoc="0" locked="0" layoutInCell="1" allowOverlap="1" wp14:anchorId="6E8B0DF2" wp14:editId="6AE1BD42">
            <wp:simplePos x="0" y="0"/>
            <wp:positionH relativeFrom="margin">
              <wp:align>left</wp:align>
            </wp:positionH>
            <wp:positionV relativeFrom="paragraph">
              <wp:posOffset>139700</wp:posOffset>
            </wp:positionV>
            <wp:extent cx="3084830" cy="2465070"/>
            <wp:effectExtent l="0" t="0" r="1270" b="0"/>
            <wp:wrapSquare wrapText="bothSides"/>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hart, line chart&#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3087678" cy="2467322"/>
                    </a:xfrm>
                    <a:prstGeom prst="rect">
                      <a:avLst/>
                    </a:prstGeom>
                  </pic:spPr>
                </pic:pic>
              </a:graphicData>
            </a:graphic>
            <wp14:sizeRelH relativeFrom="margin">
              <wp14:pctWidth>0</wp14:pctWidth>
            </wp14:sizeRelH>
            <wp14:sizeRelV relativeFrom="margin">
              <wp14:pctHeight>0</wp14:pctHeight>
            </wp14:sizeRelV>
          </wp:anchor>
        </w:drawing>
      </w:r>
    </w:p>
    <w:p w14:paraId="1828F585" w14:textId="77777777" w:rsidR="002F09CE" w:rsidRDefault="002F09CE" w:rsidP="002F09CE">
      <w:pPr>
        <w:spacing w:after="0" w:line="300" w:lineRule="auto"/>
        <w:jc w:val="both"/>
        <w:rPr>
          <w:rFonts w:ascii="Arial" w:hAnsi="Arial" w:cs="Arial"/>
          <w:b/>
          <w:bCs/>
          <w:color w:val="C45911" w:themeColor="accent2" w:themeShade="BF"/>
        </w:rPr>
      </w:pPr>
    </w:p>
    <w:p w14:paraId="4D3FFF91" w14:textId="1ADE077E" w:rsidR="002F09CE" w:rsidRDefault="002F09CE" w:rsidP="002F09CE">
      <w:pPr>
        <w:spacing w:after="0" w:line="300" w:lineRule="auto"/>
        <w:jc w:val="both"/>
        <w:rPr>
          <w:rFonts w:ascii="Arial" w:hAnsi="Arial" w:cs="Arial"/>
          <w:b/>
          <w:bCs/>
          <w:color w:val="C45911" w:themeColor="accent2" w:themeShade="BF"/>
        </w:rPr>
      </w:pPr>
    </w:p>
    <w:p w14:paraId="3EC624A9" w14:textId="6694AF53" w:rsidR="002F09CE" w:rsidRDefault="002F09CE" w:rsidP="002F09CE">
      <w:pPr>
        <w:spacing w:after="0" w:line="300" w:lineRule="auto"/>
        <w:jc w:val="both"/>
        <w:rPr>
          <w:rFonts w:ascii="Arial" w:hAnsi="Arial" w:cs="Arial"/>
          <w:b/>
          <w:bCs/>
          <w:color w:val="C45911" w:themeColor="accent2" w:themeShade="BF"/>
        </w:rPr>
      </w:pPr>
    </w:p>
    <w:p w14:paraId="128E980A" w14:textId="5D24C94C" w:rsidR="002F09CE" w:rsidRDefault="002F09CE" w:rsidP="002F09CE">
      <w:pPr>
        <w:spacing w:after="0" w:line="300" w:lineRule="auto"/>
        <w:jc w:val="both"/>
        <w:rPr>
          <w:rFonts w:ascii="Arial" w:hAnsi="Arial" w:cs="Arial"/>
          <w:b/>
          <w:bCs/>
          <w:color w:val="C45911" w:themeColor="accent2" w:themeShade="BF"/>
        </w:rPr>
      </w:pPr>
    </w:p>
    <w:p w14:paraId="3B56A0FC" w14:textId="21F0EF33" w:rsidR="002F09CE" w:rsidRDefault="002F09CE" w:rsidP="002F09CE">
      <w:pPr>
        <w:spacing w:after="0" w:line="300" w:lineRule="auto"/>
        <w:jc w:val="both"/>
        <w:rPr>
          <w:rFonts w:ascii="Arial" w:hAnsi="Arial" w:cs="Arial"/>
          <w:b/>
          <w:bCs/>
          <w:color w:val="C45911" w:themeColor="accent2" w:themeShade="BF"/>
        </w:rPr>
      </w:pPr>
    </w:p>
    <w:p w14:paraId="69A5BF82" w14:textId="77777777" w:rsidR="002F09CE" w:rsidRDefault="002F09CE" w:rsidP="002F09CE">
      <w:pPr>
        <w:spacing w:after="0" w:line="300" w:lineRule="auto"/>
        <w:jc w:val="both"/>
        <w:rPr>
          <w:rFonts w:ascii="Arial" w:hAnsi="Arial" w:cs="Arial"/>
          <w:b/>
          <w:bCs/>
          <w:color w:val="C45911" w:themeColor="accent2" w:themeShade="BF"/>
        </w:rPr>
      </w:pPr>
    </w:p>
    <w:p w14:paraId="047A173D" w14:textId="77777777" w:rsidR="002F09CE" w:rsidRDefault="002F09CE" w:rsidP="002F09CE">
      <w:pPr>
        <w:spacing w:after="0" w:line="300" w:lineRule="auto"/>
        <w:jc w:val="both"/>
        <w:rPr>
          <w:rFonts w:ascii="Arial" w:hAnsi="Arial" w:cs="Arial"/>
          <w:b/>
          <w:bCs/>
          <w:color w:val="C45911" w:themeColor="accent2" w:themeShade="BF"/>
        </w:rPr>
      </w:pPr>
    </w:p>
    <w:p w14:paraId="7F5F8E2F" w14:textId="77777777" w:rsidR="002F09CE" w:rsidRDefault="002F09CE" w:rsidP="002F09CE">
      <w:pPr>
        <w:spacing w:after="0" w:line="300" w:lineRule="auto"/>
        <w:jc w:val="both"/>
        <w:rPr>
          <w:rFonts w:ascii="Arial" w:hAnsi="Arial" w:cs="Arial"/>
          <w:b/>
          <w:bCs/>
          <w:color w:val="C45911" w:themeColor="accent2" w:themeShade="BF"/>
        </w:rPr>
      </w:pPr>
    </w:p>
    <w:p w14:paraId="6D1FB878" w14:textId="77777777" w:rsidR="002F09CE" w:rsidRDefault="002F09CE" w:rsidP="002F09CE">
      <w:pPr>
        <w:spacing w:after="0" w:line="300" w:lineRule="auto"/>
        <w:jc w:val="both"/>
        <w:rPr>
          <w:rFonts w:ascii="Arial" w:hAnsi="Arial" w:cs="Arial"/>
          <w:b/>
          <w:bCs/>
          <w:color w:val="C45911" w:themeColor="accent2" w:themeShade="BF"/>
        </w:rPr>
      </w:pPr>
    </w:p>
    <w:p w14:paraId="6E7EB567" w14:textId="77777777" w:rsidR="002F09CE" w:rsidRDefault="002F09CE" w:rsidP="002F09CE">
      <w:pPr>
        <w:spacing w:after="0" w:line="300" w:lineRule="auto"/>
        <w:jc w:val="both"/>
        <w:rPr>
          <w:rFonts w:ascii="Arial" w:hAnsi="Arial" w:cs="Arial"/>
          <w:b/>
          <w:bCs/>
          <w:color w:val="C45911" w:themeColor="accent2" w:themeShade="BF"/>
        </w:rPr>
      </w:pPr>
    </w:p>
    <w:p w14:paraId="05B6CE03" w14:textId="77777777" w:rsidR="002F09CE" w:rsidRDefault="002F09CE" w:rsidP="002F09CE">
      <w:pPr>
        <w:spacing w:after="0" w:line="300" w:lineRule="auto"/>
        <w:jc w:val="both"/>
        <w:rPr>
          <w:rFonts w:ascii="Arial" w:hAnsi="Arial" w:cs="Arial"/>
          <w:b/>
          <w:bCs/>
          <w:color w:val="C45911" w:themeColor="accent2" w:themeShade="BF"/>
        </w:rPr>
      </w:pPr>
    </w:p>
    <w:p w14:paraId="06D1FC5C" w14:textId="77777777" w:rsidR="002F09CE" w:rsidRDefault="002F09CE" w:rsidP="002F09CE">
      <w:pPr>
        <w:spacing w:after="0" w:line="300" w:lineRule="auto"/>
        <w:jc w:val="both"/>
        <w:rPr>
          <w:rFonts w:ascii="Arial" w:hAnsi="Arial" w:cs="Arial"/>
          <w:b/>
          <w:bCs/>
          <w:color w:val="C45911" w:themeColor="accent2" w:themeShade="BF"/>
        </w:rPr>
      </w:pPr>
    </w:p>
    <w:p w14:paraId="49F5BC25" w14:textId="77777777" w:rsidR="002F09CE" w:rsidRDefault="002F09CE" w:rsidP="002F09CE">
      <w:pPr>
        <w:spacing w:after="0" w:line="300" w:lineRule="auto"/>
        <w:jc w:val="both"/>
        <w:rPr>
          <w:rFonts w:ascii="Arial" w:hAnsi="Arial" w:cs="Arial"/>
          <w:b/>
          <w:bCs/>
          <w:color w:val="C45911" w:themeColor="accent2" w:themeShade="BF"/>
        </w:rPr>
      </w:pPr>
    </w:p>
    <w:p w14:paraId="50873863" w14:textId="40CB151C" w:rsidR="002F09CE" w:rsidRPr="00AC071E" w:rsidRDefault="002F09CE" w:rsidP="002F09CE">
      <w:pPr>
        <w:spacing w:after="0" w:line="300" w:lineRule="auto"/>
        <w:jc w:val="both"/>
        <w:rPr>
          <w:rFonts w:ascii="Arial" w:hAnsi="Arial" w:cs="Arial"/>
          <w:color w:val="4472C4" w:themeColor="accent1"/>
        </w:rPr>
      </w:pPr>
      <w:r>
        <w:rPr>
          <w:rFonts w:ascii="Arial" w:hAnsi="Arial" w:cs="Arial"/>
          <w:b/>
          <w:bCs/>
          <w:color w:val="C45911" w:themeColor="accent2" w:themeShade="BF"/>
        </w:rPr>
        <w:t>Supporting Figure</w:t>
      </w:r>
      <w:r w:rsidRPr="00770A1A">
        <w:rPr>
          <w:rFonts w:ascii="Arial" w:hAnsi="Arial" w:cs="Arial"/>
          <w:b/>
          <w:bCs/>
          <w:color w:val="C45911" w:themeColor="accent2" w:themeShade="BF"/>
        </w:rPr>
        <w:t xml:space="preserve">. Glutamate signalling with and without pre-stimulation. </w:t>
      </w:r>
      <w:r w:rsidRPr="00770A1A">
        <w:rPr>
          <w:rFonts w:ascii="Arial" w:hAnsi="Arial" w:cs="Arial"/>
          <w:color w:val="C45911" w:themeColor="accent2" w:themeShade="BF"/>
        </w:rPr>
        <w:t xml:space="preserve">Plot shows amplitudes for </w:t>
      </w:r>
      <w:proofErr w:type="spellStart"/>
      <w:r w:rsidRPr="00770A1A">
        <w:rPr>
          <w:rFonts w:ascii="Arial" w:hAnsi="Arial" w:cs="Arial"/>
          <w:color w:val="C45911" w:themeColor="accent2" w:themeShade="BF"/>
        </w:rPr>
        <w:t>iGluSnFR</w:t>
      </w:r>
      <w:proofErr w:type="spellEnd"/>
      <w:r w:rsidRPr="00770A1A">
        <w:rPr>
          <w:rFonts w:ascii="Arial" w:hAnsi="Arial" w:cs="Arial"/>
          <w:color w:val="C45911" w:themeColor="accent2" w:themeShade="BF"/>
        </w:rPr>
        <w:t xml:space="preserve"> responses to 10 x 10 AP stimulation for control and 1 </w:t>
      </w:r>
      <w:r w:rsidRPr="00770A1A">
        <w:rPr>
          <w:rFonts w:ascii="Symbol" w:hAnsi="Symbol" w:cs="Arial"/>
          <w:color w:val="C45911" w:themeColor="accent2" w:themeShade="BF"/>
        </w:rPr>
        <w:t>m</w:t>
      </w:r>
      <w:r w:rsidRPr="00770A1A">
        <w:rPr>
          <w:rFonts w:ascii="Arial" w:hAnsi="Arial" w:cs="Arial"/>
          <w:color w:val="C45911" w:themeColor="accent2" w:themeShade="BF"/>
        </w:rPr>
        <w:t>M 4-5 d Aβ42-treated synapses. In the ‘+ pre-stim’ condition (</w:t>
      </w:r>
      <w:proofErr w:type="spellStart"/>
      <w:r w:rsidRPr="00770A1A">
        <w:rPr>
          <w:rFonts w:ascii="Arial" w:hAnsi="Arial" w:cs="Arial"/>
          <w:color w:val="C45911" w:themeColor="accent2" w:themeShade="BF"/>
        </w:rPr>
        <w:t>cont</w:t>
      </w:r>
      <w:proofErr w:type="spellEnd"/>
      <w:r w:rsidRPr="00770A1A">
        <w:rPr>
          <w:rFonts w:ascii="Arial" w:hAnsi="Arial" w:cs="Arial"/>
          <w:color w:val="C45911" w:themeColor="accent2" w:themeShade="BF"/>
        </w:rPr>
        <w:t>, n = 845 synapses; Aβ, n = 570 synapses) cultured neurons received a 5 min stimulation protocol consisting of repeated bouts of 5 s stimulation at 2 Hz with and 5 s rest (see also Fig. 5 in manuscript). The ‘no pre-stim’ groups (</w:t>
      </w:r>
      <w:proofErr w:type="spellStart"/>
      <w:r w:rsidRPr="00770A1A">
        <w:rPr>
          <w:rFonts w:ascii="Arial" w:hAnsi="Arial" w:cs="Arial"/>
          <w:color w:val="C45911" w:themeColor="accent2" w:themeShade="BF"/>
        </w:rPr>
        <w:t>cont</w:t>
      </w:r>
      <w:proofErr w:type="spellEnd"/>
      <w:r w:rsidRPr="00770A1A">
        <w:rPr>
          <w:rFonts w:ascii="Arial" w:hAnsi="Arial" w:cs="Arial"/>
          <w:color w:val="C45911" w:themeColor="accent2" w:themeShade="BF"/>
        </w:rPr>
        <w:t>, n = 23 synapses; Aβ, n = 48 synapses) did not receive this protocol.</w:t>
      </w:r>
    </w:p>
    <w:p w14:paraId="0B121A4A" w14:textId="77777777" w:rsidR="002F09CE" w:rsidRDefault="002F09CE"/>
    <w:sectPr w:rsidR="002F09CE" w:rsidSect="0035771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9CE"/>
    <w:rsid w:val="002F09CE"/>
    <w:rsid w:val="00357718"/>
    <w:rsid w:val="003D7A9E"/>
    <w:rsid w:val="00651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A4F92"/>
  <w15:chartTrackingRefBased/>
  <w15:docId w15:val="{0AD66EC5-6C4A-4DB0-8371-1499F3D62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350</Words>
  <Characters>1999</Characters>
  <Application>Microsoft Office Word</Application>
  <DocSecurity>0</DocSecurity>
  <Lines>16</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Staras</dc:creator>
  <cp:keywords/>
  <dc:description/>
  <cp:lastModifiedBy>Kevin Staras</cp:lastModifiedBy>
  <cp:revision>3</cp:revision>
  <dcterms:created xsi:type="dcterms:W3CDTF">2022-03-25T10:50:00Z</dcterms:created>
  <dcterms:modified xsi:type="dcterms:W3CDTF">2022-03-25T11:00:00Z</dcterms:modified>
</cp:coreProperties>
</file>