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58C5" w14:textId="77777777" w:rsidR="00C224E0" w:rsidRPr="003D7A9E" w:rsidRDefault="00C224E0" w:rsidP="00C224E0">
      <w:pPr>
        <w:spacing w:after="0" w:line="300" w:lineRule="auto"/>
        <w:jc w:val="both"/>
        <w:rPr>
          <w:rFonts w:ascii="Arial" w:hAnsi="Arial" w:cs="Arial"/>
          <w:b/>
          <w:bCs/>
        </w:rPr>
      </w:pPr>
      <w:r w:rsidRPr="003D7A9E">
        <w:rPr>
          <w:rFonts w:ascii="Arial" w:hAnsi="Arial" w:cs="Arial"/>
          <w:b/>
          <w:bCs/>
        </w:rPr>
        <w:t>Biasetti et al. Elevated amyloid beta disrupts the nanoscale organization and function of synaptic vesicle pools in hippocampal neurons.</w:t>
      </w:r>
    </w:p>
    <w:p w14:paraId="327F49EB" w14:textId="77777777" w:rsidR="00C224E0" w:rsidRDefault="00C224E0" w:rsidP="00C224E0">
      <w:pPr>
        <w:spacing w:after="0" w:line="300" w:lineRule="auto"/>
        <w:jc w:val="both"/>
        <w:rPr>
          <w:rFonts w:ascii="Arial" w:hAnsi="Arial" w:cs="Arial"/>
          <w:b/>
          <w:bCs/>
          <w:color w:val="2F5496" w:themeColor="accent1" w:themeShade="BF"/>
        </w:rPr>
      </w:pPr>
    </w:p>
    <w:p w14:paraId="584399BB" w14:textId="5C941B97" w:rsidR="00C224E0" w:rsidRPr="002F09CE" w:rsidRDefault="00C224E0" w:rsidP="00C224E0">
      <w:pPr>
        <w:spacing w:after="0" w:line="300" w:lineRule="auto"/>
        <w:jc w:val="both"/>
        <w:rPr>
          <w:rFonts w:ascii="Arial" w:hAnsi="Arial" w:cs="Arial"/>
          <w:b/>
          <w:bCs/>
          <w:color w:val="2F5496" w:themeColor="accent1" w:themeShade="BF"/>
        </w:rPr>
      </w:pPr>
      <w:r w:rsidRPr="002F09CE">
        <w:rPr>
          <w:rFonts w:ascii="Arial" w:hAnsi="Arial" w:cs="Arial"/>
          <w:b/>
          <w:bCs/>
          <w:color w:val="2F5496" w:themeColor="accent1" w:themeShade="BF"/>
        </w:rPr>
        <w:t xml:space="preserve">Rationale for </w:t>
      </w:r>
      <w:proofErr w:type="spellStart"/>
      <w:r>
        <w:rPr>
          <w:rFonts w:ascii="Arial" w:hAnsi="Arial" w:cs="Arial"/>
          <w:b/>
          <w:bCs/>
          <w:color w:val="2F5496" w:themeColor="accent1" w:themeShade="BF"/>
        </w:rPr>
        <w:t>timecourse</w:t>
      </w:r>
      <w:proofErr w:type="spellEnd"/>
      <w:r>
        <w:rPr>
          <w:rFonts w:ascii="Arial" w:hAnsi="Arial" w:cs="Arial"/>
          <w:b/>
          <w:bCs/>
          <w:color w:val="2F5496" w:themeColor="accent1" w:themeShade="BF"/>
        </w:rPr>
        <w:t xml:space="preserve"> and concentration of experiments</w:t>
      </w:r>
    </w:p>
    <w:p w14:paraId="10C6CACB" w14:textId="3E208335" w:rsidR="00C224E0" w:rsidRPr="00C224E0" w:rsidRDefault="00C224E0" w:rsidP="00C224E0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C45911" w:themeColor="accent2" w:themeShade="BF"/>
        </w:rPr>
      </w:pPr>
      <w:r w:rsidRPr="00962679">
        <w:rPr>
          <w:rFonts w:ascii="Arial" w:hAnsi="Arial" w:cs="Arial"/>
          <w:color w:val="2F5496" w:themeColor="accent1" w:themeShade="BF"/>
        </w:rPr>
        <w:t xml:space="preserve">Optimization of the vesicle recycling measurements was performed with different concentrations and timeframes of incubation. 4-5 days was found to reveal robust effects of 1 µM </w:t>
      </w:r>
      <w:proofErr w:type="spellStart"/>
      <w:r w:rsidRPr="00962679">
        <w:rPr>
          <w:rFonts w:ascii="Arial" w:hAnsi="Arial" w:cs="Arial"/>
          <w:color w:val="2F5496" w:themeColor="accent1" w:themeShade="BF"/>
        </w:rPr>
        <w:t>abeta</w:t>
      </w:r>
      <w:proofErr w:type="spellEnd"/>
      <w:r w:rsidRPr="00962679">
        <w:rPr>
          <w:rFonts w:ascii="Arial" w:hAnsi="Arial" w:cs="Arial"/>
          <w:color w:val="2F5496" w:themeColor="accent1" w:themeShade="BF"/>
        </w:rPr>
        <w:t xml:space="preserve"> on vesicle reuptake, while </w:t>
      </w:r>
      <w:r>
        <w:rPr>
          <w:rFonts w:ascii="Arial" w:hAnsi="Arial" w:cs="Arial"/>
          <w:color w:val="2F5496" w:themeColor="accent1" w:themeShade="BF"/>
        </w:rPr>
        <w:t xml:space="preserve">an </w:t>
      </w:r>
      <w:r w:rsidRPr="00962679">
        <w:rPr>
          <w:rFonts w:ascii="Arial" w:hAnsi="Arial" w:cs="Arial"/>
          <w:color w:val="2F5496" w:themeColor="accent1" w:themeShade="BF"/>
        </w:rPr>
        <w:t>earlier timepoint did not (</w:t>
      </w:r>
      <w:r>
        <w:rPr>
          <w:rFonts w:ascii="Arial" w:hAnsi="Arial" w:cs="Arial"/>
          <w:b/>
          <w:bCs/>
          <w:color w:val="2F5496" w:themeColor="accent1" w:themeShade="BF"/>
        </w:rPr>
        <w:t xml:space="preserve">Supporting </w:t>
      </w:r>
      <w:r w:rsidRPr="00962679">
        <w:rPr>
          <w:rFonts w:ascii="Arial" w:hAnsi="Arial" w:cs="Arial"/>
          <w:b/>
          <w:bCs/>
          <w:color w:val="2F5496" w:themeColor="accent1" w:themeShade="BF"/>
        </w:rPr>
        <w:t xml:space="preserve">Figure </w:t>
      </w:r>
      <w:r>
        <w:rPr>
          <w:rFonts w:ascii="Arial" w:hAnsi="Arial" w:cs="Arial"/>
          <w:b/>
          <w:bCs/>
          <w:color w:val="2F5496" w:themeColor="accent1" w:themeShade="BF"/>
        </w:rPr>
        <w:t>panel (</w:t>
      </w:r>
      <w:r w:rsidRPr="00962679">
        <w:rPr>
          <w:rFonts w:ascii="Arial" w:hAnsi="Arial" w:cs="Arial"/>
          <w:b/>
          <w:bCs/>
          <w:color w:val="2F5496" w:themeColor="accent1" w:themeShade="BF"/>
        </w:rPr>
        <w:t>a</w:t>
      </w:r>
      <w:r>
        <w:rPr>
          <w:rFonts w:ascii="Arial" w:hAnsi="Arial" w:cs="Arial"/>
          <w:b/>
          <w:bCs/>
          <w:color w:val="2F5496" w:themeColor="accent1" w:themeShade="BF"/>
        </w:rPr>
        <w:t>)</w:t>
      </w:r>
      <w:r w:rsidRPr="00962679">
        <w:rPr>
          <w:rFonts w:ascii="Arial" w:hAnsi="Arial" w:cs="Arial"/>
          <w:b/>
          <w:bCs/>
          <w:color w:val="2F5496" w:themeColor="accent1" w:themeShade="BF"/>
        </w:rPr>
        <w:t>, below</w:t>
      </w:r>
      <w:r w:rsidRPr="00962679">
        <w:rPr>
          <w:rFonts w:ascii="Arial" w:hAnsi="Arial" w:cs="Arial"/>
          <w:color w:val="2F5496" w:themeColor="accent1" w:themeShade="BF"/>
        </w:rPr>
        <w:t xml:space="preserve">). This longer timeframe of incubation also permits comparisons with our </w:t>
      </w:r>
      <w:r w:rsidRPr="00962679">
        <w:rPr>
          <w:rFonts w:ascii="Arial" w:hAnsi="Arial" w:cs="Arial"/>
          <w:i/>
          <w:iCs/>
          <w:color w:val="2F5496" w:themeColor="accent1" w:themeShade="BF"/>
        </w:rPr>
        <w:t xml:space="preserve">ex vivo </w:t>
      </w:r>
      <w:r w:rsidRPr="00962679">
        <w:rPr>
          <w:rFonts w:ascii="Arial" w:hAnsi="Arial" w:cs="Arial"/>
          <w:color w:val="2F5496" w:themeColor="accent1" w:themeShade="BF"/>
        </w:rPr>
        <w:t xml:space="preserve">EM data where brain tissue was taken from animals exposed to Aβ42 from birth. A challenge with readout of synaptic function after short-term treatment is that it is likely to include periods of adaptive change in which synapses </w:t>
      </w:r>
      <w:proofErr w:type="spellStart"/>
      <w:r w:rsidRPr="00962679">
        <w:rPr>
          <w:rFonts w:ascii="Arial" w:hAnsi="Arial" w:cs="Arial"/>
          <w:color w:val="2F5496" w:themeColor="accent1" w:themeShade="BF"/>
        </w:rPr>
        <w:t>homeostatically</w:t>
      </w:r>
      <w:proofErr w:type="spellEnd"/>
      <w:r w:rsidRPr="00962679">
        <w:rPr>
          <w:rFonts w:ascii="Arial" w:hAnsi="Arial" w:cs="Arial"/>
          <w:color w:val="2F5496" w:themeColor="accent1" w:themeShade="BF"/>
        </w:rPr>
        <w:t xml:space="preserve"> adjust to alterations in signalling or neuronal activity associated with the addition of the toxic peptide, and so would confound interpretation of the data. In comparison, a longer-term </w:t>
      </w:r>
      <w:r w:rsidRPr="00C224E0">
        <w:rPr>
          <w:rFonts w:ascii="Arial" w:hAnsi="Arial" w:cs="Arial"/>
          <w:color w:val="2F5496" w:themeColor="accent1" w:themeShade="BF"/>
        </w:rPr>
        <w:t>treatment reflects the persistent state of increased Aβ42 load and thus gives us the opportunity to study the steady-state responses – arguably more indicative of pathological states. In our system, we see significant levels of cell death after 7 days incubation at 10 µM</w:t>
      </w:r>
      <w:r w:rsidRPr="00C224E0">
        <w:rPr>
          <w:rFonts w:ascii="Arial" w:hAnsi="Arial" w:cs="Arial"/>
          <w:color w:val="2F5496" w:themeColor="accent1" w:themeShade="BF"/>
        </w:rPr>
        <w:t xml:space="preserve"> which we have previously characterized extensively (</w:t>
      </w:r>
      <w:r w:rsidRPr="00C224E0">
        <w:rPr>
          <w:rFonts w:ascii="Arial" w:hAnsi="Arial" w:cs="Arial"/>
          <w:color w:val="2F5496" w:themeColor="accent1" w:themeShade="BF"/>
        </w:rPr>
        <w:t>Marshall et al., 2020, CMLS, 77:5031-5043</w:t>
      </w:r>
      <w:r w:rsidRPr="00C224E0">
        <w:rPr>
          <w:rFonts w:ascii="Arial" w:hAnsi="Arial" w:cs="Arial"/>
          <w:color w:val="2F5496" w:themeColor="accent1" w:themeShade="BF"/>
        </w:rPr>
        <w:t>)</w:t>
      </w:r>
      <w:r w:rsidRPr="00C224E0">
        <w:rPr>
          <w:rFonts w:ascii="Arial" w:hAnsi="Arial" w:cs="Arial"/>
          <w:color w:val="2F5496" w:themeColor="accent1" w:themeShade="BF"/>
        </w:rPr>
        <w:t xml:space="preserve">. At 1 µM, cell death </w:t>
      </w:r>
      <w:r w:rsidRPr="00962679">
        <w:rPr>
          <w:rFonts w:ascii="Arial" w:hAnsi="Arial" w:cs="Arial"/>
          <w:color w:val="2F5496" w:themeColor="accent1" w:themeShade="BF"/>
        </w:rPr>
        <w:t>occurs at a similar level to buffer alone (background) at 3 and 7 days (</w:t>
      </w:r>
      <w:r>
        <w:rPr>
          <w:rFonts w:ascii="Arial" w:hAnsi="Arial" w:cs="Arial"/>
          <w:b/>
          <w:bCs/>
          <w:color w:val="2F5496" w:themeColor="accent1" w:themeShade="BF"/>
        </w:rPr>
        <w:t>Supporting</w:t>
      </w:r>
      <w:r w:rsidRPr="00962679">
        <w:rPr>
          <w:rFonts w:ascii="Arial" w:hAnsi="Arial" w:cs="Arial"/>
          <w:b/>
          <w:bCs/>
          <w:color w:val="2F5496" w:themeColor="accent1" w:themeShade="BF"/>
        </w:rPr>
        <w:t xml:space="preserve"> Figure </w:t>
      </w:r>
      <w:r>
        <w:rPr>
          <w:rFonts w:ascii="Arial" w:hAnsi="Arial" w:cs="Arial"/>
          <w:b/>
          <w:bCs/>
          <w:color w:val="2F5496" w:themeColor="accent1" w:themeShade="BF"/>
        </w:rPr>
        <w:t>panel (b), below</w:t>
      </w:r>
      <w:r w:rsidRPr="00962679">
        <w:rPr>
          <w:rFonts w:ascii="Arial" w:hAnsi="Arial" w:cs="Arial"/>
          <w:color w:val="2F5496" w:themeColor="accent1" w:themeShade="BF"/>
        </w:rPr>
        <w:t>). As such we think this is the ‘sweet-spot’ where synaptic dysfunctional effects emerge but are not accompanied by cell death.</w:t>
      </w:r>
    </w:p>
    <w:p w14:paraId="073E9FF8" w14:textId="37FD9833" w:rsidR="00651092" w:rsidRDefault="00651092" w:rsidP="00C224E0"/>
    <w:p w14:paraId="13F101AF" w14:textId="77777777" w:rsidR="00C224E0" w:rsidRPr="007F36EA" w:rsidRDefault="00C224E0" w:rsidP="00C224E0">
      <w:pPr>
        <w:spacing w:after="0" w:line="300" w:lineRule="auto"/>
        <w:jc w:val="both"/>
        <w:rPr>
          <w:rFonts w:ascii="Arial" w:hAnsi="Arial" w:cs="Arial"/>
          <w:color w:val="ED7D31" w:themeColor="accent2"/>
        </w:rPr>
      </w:pPr>
      <w:r w:rsidRPr="007F36EA">
        <w:rPr>
          <w:rFonts w:ascii="Arial" w:hAnsi="Arial" w:cs="Arial"/>
          <w:noProof/>
          <w:color w:val="ED7D31" w:themeColor="accent2"/>
        </w:rPr>
        <w:drawing>
          <wp:inline distT="0" distB="0" distL="0" distR="0" wp14:anchorId="7B27EF3F" wp14:editId="46122F09">
            <wp:extent cx="3895344" cy="2287524"/>
            <wp:effectExtent l="0" t="0" r="0" b="0"/>
            <wp:docPr id="7" name="Picture 7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a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344" cy="228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A5F2F" w14:textId="77777777" w:rsidR="00C224E0" w:rsidRDefault="00C224E0" w:rsidP="00C224E0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b/>
          <w:bCs/>
          <w:color w:val="000000"/>
        </w:rPr>
      </w:pPr>
    </w:p>
    <w:p w14:paraId="178241ED" w14:textId="63298F11" w:rsidR="00C224E0" w:rsidRDefault="00C224E0" w:rsidP="00C224E0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C45911" w:themeColor="accent2" w:themeShade="BF"/>
        </w:rPr>
      </w:pPr>
      <w:r>
        <w:rPr>
          <w:rFonts w:ascii="Arial" w:hAnsi="Arial" w:cs="Arial"/>
          <w:b/>
          <w:bCs/>
          <w:color w:val="C45911" w:themeColor="accent2" w:themeShade="BF"/>
        </w:rPr>
        <w:t>Supporting Figure</w:t>
      </w:r>
      <w:r w:rsidRPr="00042BE9">
        <w:rPr>
          <w:rFonts w:ascii="Arial" w:hAnsi="Arial" w:cs="Arial"/>
          <w:b/>
          <w:bCs/>
          <w:color w:val="C45911" w:themeColor="accent2" w:themeShade="BF"/>
        </w:rPr>
        <w:t>. Time and concentration dependent effects of Aβ42. (a)</w:t>
      </w:r>
      <w:r w:rsidRPr="00042BE9">
        <w:rPr>
          <w:rFonts w:ascii="Arial" w:hAnsi="Arial" w:cs="Arial"/>
          <w:color w:val="C45911" w:themeColor="accent2" w:themeShade="BF"/>
        </w:rPr>
        <w:t xml:space="preserve"> Recycled vesicle fraction with control (n = 46 synapses) or </w:t>
      </w:r>
      <w:r w:rsidRPr="00042BE9">
        <w:rPr>
          <w:rFonts w:ascii="Arial" w:hAnsi="Arial" w:cs="Arial"/>
          <w:color w:val="C45911" w:themeColor="accent2" w:themeShade="BF"/>
          <w:sz w:val="21"/>
          <w:szCs w:val="21"/>
        </w:rPr>
        <w:t xml:space="preserve">1 </w:t>
      </w:r>
      <w:r w:rsidRPr="00042BE9">
        <w:rPr>
          <w:rFonts w:ascii="Symbol" w:hAnsi="Symbol" w:cs="Symbol"/>
          <w:color w:val="C45911" w:themeColor="accent2" w:themeShade="BF"/>
          <w:sz w:val="21"/>
          <w:szCs w:val="21"/>
        </w:rPr>
        <w:t>m</w:t>
      </w:r>
      <w:r w:rsidRPr="00042BE9">
        <w:rPr>
          <w:rFonts w:ascii="Arial" w:hAnsi="Arial" w:cs="Arial"/>
          <w:color w:val="C45911" w:themeColor="accent2" w:themeShade="BF"/>
          <w:sz w:val="21"/>
          <w:szCs w:val="21"/>
        </w:rPr>
        <w:t>M A</w:t>
      </w:r>
      <w:r w:rsidRPr="00042BE9">
        <w:rPr>
          <w:rFonts w:ascii="Symbol" w:hAnsi="Symbol" w:cs="Symbol"/>
          <w:color w:val="C45911" w:themeColor="accent2" w:themeShade="BF"/>
          <w:sz w:val="21"/>
          <w:szCs w:val="21"/>
        </w:rPr>
        <w:t>b</w:t>
      </w:r>
      <w:r w:rsidRPr="00042BE9">
        <w:rPr>
          <w:rFonts w:ascii="Arial" w:hAnsi="Arial" w:cs="Arial"/>
          <w:color w:val="C45911" w:themeColor="accent2" w:themeShade="BF"/>
          <w:sz w:val="21"/>
          <w:szCs w:val="21"/>
        </w:rPr>
        <w:t>42</w:t>
      </w:r>
      <w:r w:rsidRPr="00042BE9">
        <w:rPr>
          <w:rFonts w:ascii="Arial" w:hAnsi="Arial" w:cs="Arial"/>
          <w:color w:val="C45911" w:themeColor="accent2" w:themeShade="BF"/>
        </w:rPr>
        <w:t xml:space="preserve"> (n = 58 synapses) incubation for 40 hours (t-test, P = 0.56, not significant). </w:t>
      </w:r>
      <w:r w:rsidRPr="00042BE9">
        <w:rPr>
          <w:rFonts w:ascii="Arial" w:hAnsi="Arial" w:cs="Arial"/>
          <w:b/>
          <w:bCs/>
          <w:color w:val="C45911" w:themeColor="accent2" w:themeShade="BF"/>
        </w:rPr>
        <w:t>(b)</w:t>
      </w:r>
      <w:r w:rsidRPr="00042BE9">
        <w:rPr>
          <w:rFonts w:ascii="Arial" w:hAnsi="Arial" w:cs="Arial"/>
          <w:color w:val="C45911" w:themeColor="accent2" w:themeShade="BF"/>
        </w:rPr>
        <w:t xml:space="preserve"> Aβ42 oligomers cause death of primary neurons in a time and concentration-dependent manner. Cells were incubated either with buffer or Aβ42 oligomers. Assessment of oligomer toxicity used a </w:t>
      </w:r>
      <w:proofErr w:type="spellStart"/>
      <w:r w:rsidRPr="00042BE9">
        <w:rPr>
          <w:rFonts w:ascii="Arial" w:hAnsi="Arial" w:cs="Arial"/>
          <w:color w:val="C45911" w:themeColor="accent2" w:themeShade="BF"/>
        </w:rPr>
        <w:t>Readyprobes</w:t>
      </w:r>
      <w:proofErr w:type="spellEnd"/>
      <w:r w:rsidRPr="00042BE9">
        <w:rPr>
          <w:rFonts w:ascii="Arial" w:hAnsi="Arial" w:cs="Arial"/>
          <w:color w:val="C45911" w:themeColor="accent2" w:themeShade="BF"/>
        </w:rPr>
        <w:t xml:space="preserve"> cell viability assay. Data shown are averages from three FOV (fields of view) in at least three experiments ± SEM (standard error </w:t>
      </w:r>
      <w:r>
        <w:rPr>
          <w:rFonts w:ascii="Arial" w:hAnsi="Arial" w:cs="Arial"/>
          <w:color w:val="C45911" w:themeColor="accent2" w:themeShade="BF"/>
        </w:rPr>
        <w:t xml:space="preserve">of </w:t>
      </w:r>
      <w:r w:rsidRPr="00042BE9">
        <w:rPr>
          <w:rFonts w:ascii="Arial" w:hAnsi="Arial" w:cs="Arial"/>
          <w:color w:val="C45911" w:themeColor="accent2" w:themeShade="BF"/>
        </w:rPr>
        <w:t>mean). Unpaired student’s t-test; significant differences versus buffer are indicated by * (p &lt; 0.05). From Marshall et al., 2020, CMLS, 77:5031-5043.</w:t>
      </w:r>
    </w:p>
    <w:p w14:paraId="16C4B8C4" w14:textId="77777777" w:rsidR="00C224E0" w:rsidRDefault="00C224E0" w:rsidP="00C224E0"/>
    <w:sectPr w:rsidR="00C224E0" w:rsidSect="00C224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E0"/>
    <w:rsid w:val="00651092"/>
    <w:rsid w:val="00C2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5D92"/>
  <w15:chartTrackingRefBased/>
  <w15:docId w15:val="{19953D6D-5DC6-48DB-9475-3A6D5940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Staras</dc:creator>
  <cp:keywords/>
  <dc:description/>
  <cp:lastModifiedBy>Kevin Staras</cp:lastModifiedBy>
  <cp:revision>1</cp:revision>
  <dcterms:created xsi:type="dcterms:W3CDTF">2022-03-25T10:57:00Z</dcterms:created>
  <dcterms:modified xsi:type="dcterms:W3CDTF">2022-03-25T11:02:00Z</dcterms:modified>
</cp:coreProperties>
</file>