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27" w:rsidRDefault="000E3A27" w:rsidP="000E3A27">
      <w:pPr>
        <w:rPr>
          <w:rFonts w:ascii="Times New Roman" w:hAnsi="Times New Roman" w:cs="Times New Roman"/>
        </w:rPr>
      </w:pPr>
      <w:bookmarkStart w:id="0" w:name="_GoBack"/>
      <w:bookmarkEnd w:id="0"/>
      <w:r w:rsidRPr="00DB77E4">
        <w:rPr>
          <w:rFonts w:ascii="Times New Roman" w:hAnsi="Times New Roman" w:cs="Times New Roman"/>
        </w:rPr>
        <w:t xml:space="preserve">Gandhianism in London: Bringing the past to bear on the present in discussion of the social work and spirituality of Muriel and Doris Lester </w:t>
      </w:r>
    </w:p>
    <w:p w:rsidR="00FA04F7" w:rsidRDefault="00FA04F7" w:rsidP="000E3A27">
      <w:pPr>
        <w:rPr>
          <w:rFonts w:ascii="Times New Roman" w:hAnsi="Times New Roman" w:cs="Times New Roman"/>
        </w:rPr>
      </w:pPr>
      <w:r>
        <w:rPr>
          <w:rFonts w:ascii="Times New Roman" w:hAnsi="Times New Roman" w:cs="Times New Roman"/>
        </w:rPr>
        <w:t>By Russell Whiting</w:t>
      </w:r>
    </w:p>
    <w:p w:rsidR="00FA04F7" w:rsidRPr="00DB77E4" w:rsidRDefault="00FA04F7" w:rsidP="000E3A27">
      <w:pPr>
        <w:rPr>
          <w:rFonts w:ascii="Times New Roman" w:hAnsi="Times New Roman" w:cs="Times New Roman"/>
        </w:rPr>
      </w:pPr>
      <w:r>
        <w:rPr>
          <w:rFonts w:ascii="Times New Roman" w:hAnsi="Times New Roman" w:cs="Times New Roman"/>
        </w:rPr>
        <w:t xml:space="preserve">Accepted by </w:t>
      </w:r>
      <w:r w:rsidRPr="00FA04F7">
        <w:rPr>
          <w:rFonts w:ascii="Times New Roman" w:hAnsi="Times New Roman" w:cs="Times New Roman"/>
          <w:i/>
          <w:iCs/>
        </w:rPr>
        <w:t>International Social Work</w:t>
      </w:r>
      <w:r>
        <w:rPr>
          <w:rFonts w:ascii="Times New Roman" w:hAnsi="Times New Roman" w:cs="Times New Roman"/>
        </w:rPr>
        <w:t xml:space="preserve"> – special edition on spirituality - due for publication 2013 </w:t>
      </w:r>
    </w:p>
    <w:p w:rsidR="000E3A27" w:rsidRPr="00DB77E4" w:rsidRDefault="000E3A27" w:rsidP="000E3A27">
      <w:pPr>
        <w:rPr>
          <w:rFonts w:ascii="Times New Roman" w:hAnsi="Times New Roman" w:cs="Times New Roman"/>
          <w:b/>
        </w:rPr>
      </w:pPr>
      <w:r w:rsidRPr="00DB77E4">
        <w:rPr>
          <w:rFonts w:ascii="Times New Roman" w:hAnsi="Times New Roman" w:cs="Times New Roman"/>
          <w:b/>
        </w:rPr>
        <w:t>Introduction</w:t>
      </w:r>
    </w:p>
    <w:p w:rsidR="000E3A27" w:rsidRPr="00DB77E4" w:rsidRDefault="000E3A27" w:rsidP="000E3A27">
      <w:pPr>
        <w:rPr>
          <w:rFonts w:ascii="Times New Roman" w:hAnsi="Times New Roman" w:cs="Times New Roman"/>
        </w:rPr>
      </w:pPr>
      <w:r w:rsidRPr="00DB77E4">
        <w:rPr>
          <w:rFonts w:ascii="Times New Roman" w:hAnsi="Times New Roman" w:cs="Times New Roman"/>
          <w:b/>
        </w:rPr>
        <w:tab/>
      </w:r>
      <w:r w:rsidRPr="00DB77E4">
        <w:rPr>
          <w:rFonts w:ascii="Times New Roman" w:hAnsi="Times New Roman" w:cs="Times New Roman"/>
        </w:rPr>
        <w:t>“The past is a foreign country. They do things differently there.” (Hartley</w:t>
      </w:r>
      <w:r w:rsidR="00E43A92" w:rsidRPr="00DB77E4">
        <w:rPr>
          <w:rFonts w:ascii="Times New Roman" w:hAnsi="Times New Roman" w:cs="Times New Roman"/>
        </w:rPr>
        <w:t>, 1953</w:t>
      </w:r>
      <w:r w:rsidRPr="00DB77E4">
        <w:rPr>
          <w:rFonts w:ascii="Times New Roman" w:hAnsi="Times New Roman" w:cs="Times New Roman"/>
        </w:rPr>
        <w:t xml:space="preserve"> p.1)</w:t>
      </w:r>
    </w:p>
    <w:p w:rsidR="000E3A27" w:rsidRPr="00DB77E4" w:rsidRDefault="000E3A27" w:rsidP="000E3A27">
      <w:pPr>
        <w:rPr>
          <w:rFonts w:ascii="Times New Roman" w:hAnsi="Times New Roman" w:cs="Times New Roman"/>
        </w:rPr>
      </w:pPr>
      <w:r w:rsidRPr="00DB77E4">
        <w:rPr>
          <w:rFonts w:ascii="Times New Roman" w:hAnsi="Times New Roman" w:cs="Times New Roman"/>
        </w:rPr>
        <w:tab/>
        <w:t xml:space="preserve">The first line of L.P. Hartley’s novel </w:t>
      </w:r>
      <w:r w:rsidRPr="00DB77E4">
        <w:rPr>
          <w:rFonts w:ascii="Times New Roman" w:hAnsi="Times New Roman" w:cs="Times New Roman"/>
          <w:i/>
        </w:rPr>
        <w:t>The Go Between</w:t>
      </w:r>
      <w:r w:rsidRPr="00DB77E4">
        <w:rPr>
          <w:rFonts w:ascii="Times New Roman" w:hAnsi="Times New Roman" w:cs="Times New Roman"/>
        </w:rPr>
        <w:t xml:space="preserve"> strikes a plaintive note, as if the motivations and perspectives of the people of the past are inaccessible and beyond our understanding. This article will challenge that perspective. It will take a set of ideas associated with the spirituality of Gandhian social work that might be thought to be consigned to the past, illustrate them by reference to the lives of two particular and now long dead women, and demonstrate their relevance and utility for contemporary practice.</w:t>
      </w:r>
    </w:p>
    <w:p w:rsidR="00156288" w:rsidRPr="00DB77E4" w:rsidRDefault="000E3A27" w:rsidP="0041474E">
      <w:pPr>
        <w:ind w:firstLine="720"/>
        <w:rPr>
          <w:rFonts w:ascii="Times New Roman" w:hAnsi="Times New Roman" w:cs="Times New Roman"/>
        </w:rPr>
      </w:pPr>
      <w:r w:rsidRPr="00DB77E4">
        <w:rPr>
          <w:rFonts w:ascii="Times New Roman" w:hAnsi="Times New Roman" w:cs="Times New Roman"/>
        </w:rPr>
        <w:t xml:space="preserve"> In recent years religion and spirituality have become a lively topic of debate in the social work academy</w:t>
      </w:r>
      <w:r w:rsidR="006C4B0E" w:rsidRPr="00DB77E4">
        <w:rPr>
          <w:rFonts w:ascii="Times New Roman" w:hAnsi="Times New Roman" w:cs="Times New Roman"/>
        </w:rPr>
        <w:t xml:space="preserve">, with particular </w:t>
      </w:r>
      <w:r w:rsidR="00ED76A8" w:rsidRPr="00DB77E4">
        <w:rPr>
          <w:rFonts w:ascii="Times New Roman" w:hAnsi="Times New Roman" w:cs="Times New Roman"/>
        </w:rPr>
        <w:t>focus on</w:t>
      </w:r>
      <w:r w:rsidR="00F8256F" w:rsidRPr="00DB77E4">
        <w:rPr>
          <w:rFonts w:ascii="Times New Roman" w:hAnsi="Times New Roman" w:cs="Times New Roman"/>
        </w:rPr>
        <w:t xml:space="preserve"> the different meanings of each. Put simply, spirituality may be broadly </w:t>
      </w:r>
      <w:r w:rsidR="00ED76A8" w:rsidRPr="00DB77E4">
        <w:rPr>
          <w:rFonts w:ascii="Times New Roman" w:hAnsi="Times New Roman" w:cs="Times New Roman"/>
        </w:rPr>
        <w:t>defined as</w:t>
      </w:r>
      <w:r w:rsidR="00F8256F" w:rsidRPr="00DB77E4">
        <w:rPr>
          <w:rFonts w:ascii="Times New Roman" w:hAnsi="Times New Roman" w:cs="Times New Roman"/>
        </w:rPr>
        <w:t xml:space="preserve">: “what we do to give expression to our world view” (Moss, 2005, p.13) and </w:t>
      </w:r>
      <w:r w:rsidR="00ED76A8" w:rsidRPr="00DB77E4">
        <w:rPr>
          <w:rFonts w:ascii="Times New Roman" w:hAnsi="Times New Roman" w:cs="Times New Roman"/>
        </w:rPr>
        <w:t>Moss</w:t>
      </w:r>
      <w:r w:rsidR="00F8256F" w:rsidRPr="00DB77E4">
        <w:rPr>
          <w:rFonts w:ascii="Times New Roman" w:hAnsi="Times New Roman" w:cs="Times New Roman"/>
        </w:rPr>
        <w:t xml:space="preserve"> goes on to note that that world views may be religious or not.</w:t>
      </w:r>
      <w:r w:rsidR="0026509E" w:rsidRPr="00DB77E4">
        <w:rPr>
          <w:rFonts w:ascii="Times New Roman" w:hAnsi="Times New Roman" w:cs="Times New Roman"/>
        </w:rPr>
        <w:t xml:space="preserve"> Religion is viewed usually in </w:t>
      </w:r>
      <w:r w:rsidR="00116DAB" w:rsidRPr="00DB77E4">
        <w:rPr>
          <w:rFonts w:ascii="Times New Roman" w:hAnsi="Times New Roman" w:cs="Times New Roman"/>
        </w:rPr>
        <w:t xml:space="preserve">pragmatic </w:t>
      </w:r>
      <w:r w:rsidR="0026509E" w:rsidRPr="00DB77E4">
        <w:rPr>
          <w:rFonts w:ascii="Times New Roman" w:hAnsi="Times New Roman" w:cs="Times New Roman"/>
        </w:rPr>
        <w:t>terms</w:t>
      </w:r>
      <w:r w:rsidR="00116DAB" w:rsidRPr="00DB77E4">
        <w:rPr>
          <w:rFonts w:ascii="Times New Roman" w:hAnsi="Times New Roman" w:cs="Times New Roman"/>
        </w:rPr>
        <w:t xml:space="preserve"> (Furness and Gilligan, 2010, p.3)</w:t>
      </w:r>
      <w:r w:rsidR="0026509E" w:rsidRPr="00DB77E4">
        <w:rPr>
          <w:rFonts w:ascii="Times New Roman" w:hAnsi="Times New Roman" w:cs="Times New Roman"/>
        </w:rPr>
        <w:t xml:space="preserve"> with religious people </w:t>
      </w:r>
      <w:r w:rsidR="005D2310" w:rsidRPr="00DB77E4">
        <w:rPr>
          <w:rFonts w:ascii="Times New Roman" w:hAnsi="Times New Roman" w:cs="Times New Roman"/>
        </w:rPr>
        <w:t>demonstrating their allegiance to</w:t>
      </w:r>
      <w:r w:rsidR="00F8256F" w:rsidRPr="00DB77E4">
        <w:rPr>
          <w:rFonts w:ascii="Times New Roman" w:hAnsi="Times New Roman" w:cs="Times New Roman"/>
        </w:rPr>
        <w:t xml:space="preserve"> a world faith through</w:t>
      </w:r>
      <w:r w:rsidR="00116DAB" w:rsidRPr="00DB77E4">
        <w:rPr>
          <w:rFonts w:ascii="Times New Roman" w:hAnsi="Times New Roman" w:cs="Times New Roman"/>
        </w:rPr>
        <w:t xml:space="preserve"> their behaviour</w:t>
      </w:r>
      <w:r w:rsidR="00F8256F" w:rsidRPr="00DB77E4">
        <w:rPr>
          <w:rFonts w:ascii="Times New Roman" w:hAnsi="Times New Roman" w:cs="Times New Roman"/>
        </w:rPr>
        <w:t xml:space="preserve">.  Henery </w:t>
      </w:r>
      <w:r w:rsidR="00A6015A" w:rsidRPr="00DB77E4">
        <w:rPr>
          <w:rFonts w:ascii="Times New Roman" w:hAnsi="Times New Roman" w:cs="Times New Roman"/>
        </w:rPr>
        <w:t xml:space="preserve">(2003) discussed what he called the </w:t>
      </w:r>
      <w:r w:rsidRPr="00DB77E4">
        <w:rPr>
          <w:rFonts w:ascii="Times New Roman" w:hAnsi="Times New Roman" w:cs="Times New Roman"/>
        </w:rPr>
        <w:t>religion/spirituality binary (</w:t>
      </w:r>
      <w:r w:rsidR="0026509E" w:rsidRPr="00DB77E4">
        <w:rPr>
          <w:rFonts w:ascii="Times New Roman" w:hAnsi="Times New Roman" w:cs="Times New Roman"/>
        </w:rPr>
        <w:t>with</w:t>
      </w:r>
      <w:r w:rsidR="00F8256F" w:rsidRPr="00DB77E4">
        <w:rPr>
          <w:rFonts w:ascii="Times New Roman" w:hAnsi="Times New Roman" w:cs="Times New Roman"/>
        </w:rPr>
        <w:t xml:space="preserve"> religion associated with </w:t>
      </w:r>
      <w:r w:rsidR="00ED76A8" w:rsidRPr="00DB77E4">
        <w:rPr>
          <w:rFonts w:ascii="Times New Roman" w:hAnsi="Times New Roman" w:cs="Times New Roman"/>
        </w:rPr>
        <w:t>institutions and</w:t>
      </w:r>
      <w:r w:rsidR="00F8256F" w:rsidRPr="00DB77E4">
        <w:rPr>
          <w:rFonts w:ascii="Times New Roman" w:hAnsi="Times New Roman" w:cs="Times New Roman"/>
        </w:rPr>
        <w:t xml:space="preserve"> therefore seen as bad – and spirituality associated with the personal life and therefore seen as good). This position </w:t>
      </w:r>
      <w:r w:rsidR="00ED76A8" w:rsidRPr="00DB77E4">
        <w:rPr>
          <w:rFonts w:ascii="Times New Roman" w:hAnsi="Times New Roman" w:cs="Times New Roman"/>
        </w:rPr>
        <w:t>was critiqued</w:t>
      </w:r>
      <w:r w:rsidR="00F8256F" w:rsidRPr="00DB77E4">
        <w:rPr>
          <w:rFonts w:ascii="Times New Roman" w:hAnsi="Times New Roman" w:cs="Times New Roman"/>
        </w:rPr>
        <w:t xml:space="preserve"> by Wong and Vinsky (2009). </w:t>
      </w:r>
      <w:r w:rsidR="00A6015A" w:rsidRPr="00DB77E4">
        <w:rPr>
          <w:rFonts w:ascii="Times New Roman" w:hAnsi="Times New Roman" w:cs="Times New Roman"/>
        </w:rPr>
        <w:t>H</w:t>
      </w:r>
      <w:r w:rsidRPr="00DB77E4">
        <w:rPr>
          <w:rFonts w:ascii="Times New Roman" w:hAnsi="Times New Roman" w:cs="Times New Roman"/>
        </w:rPr>
        <w:t xml:space="preserve">owever, these discussions and debates </w:t>
      </w:r>
      <w:r w:rsidR="001A77E7" w:rsidRPr="00DB77E4">
        <w:rPr>
          <w:rFonts w:ascii="Times New Roman" w:hAnsi="Times New Roman" w:cs="Times New Roman"/>
        </w:rPr>
        <w:t xml:space="preserve">also </w:t>
      </w:r>
      <w:r w:rsidRPr="00DB77E4">
        <w:rPr>
          <w:rFonts w:ascii="Times New Roman" w:hAnsi="Times New Roman" w:cs="Times New Roman"/>
        </w:rPr>
        <w:t>lack at least two attributes - a sense of historical perspective and of individual and personal narratives.</w:t>
      </w:r>
      <w:r w:rsidR="00156288" w:rsidRPr="00DB77E4">
        <w:rPr>
          <w:rFonts w:ascii="Times New Roman" w:hAnsi="Times New Roman" w:cs="Times New Roman"/>
        </w:rPr>
        <w:t xml:space="preserve"> </w:t>
      </w:r>
      <w:r w:rsidR="00F8256F" w:rsidRPr="00DB77E4">
        <w:rPr>
          <w:rFonts w:ascii="Times New Roman" w:hAnsi="Times New Roman" w:cs="Times New Roman"/>
        </w:rPr>
        <w:t>This article will take Gandhi’s conceptualisations of spirituality, some of which cross over or cross fertilize between different religious belief systems, and consider them in relation to two particular Christians. In the language of the debates that have preceded it then, the article is concerned with the personal or spirituality broadly rather than with particular religious beliefs or institutions.</w:t>
      </w:r>
    </w:p>
    <w:p w:rsidR="000E3A27" w:rsidRPr="00DB77E4" w:rsidRDefault="000E3A27" w:rsidP="00A6015A">
      <w:pPr>
        <w:ind w:firstLine="720"/>
        <w:rPr>
          <w:rFonts w:ascii="Times New Roman" w:hAnsi="Times New Roman" w:cs="Times New Roman"/>
        </w:rPr>
      </w:pPr>
      <w:r w:rsidRPr="00DB77E4">
        <w:rPr>
          <w:rFonts w:ascii="Times New Roman" w:hAnsi="Times New Roman" w:cs="Times New Roman"/>
        </w:rPr>
        <w:t xml:space="preserve"> In social work, academic debates are </w:t>
      </w:r>
      <w:r w:rsidR="005A02A8" w:rsidRPr="00DB77E4">
        <w:rPr>
          <w:rFonts w:ascii="Times New Roman" w:hAnsi="Times New Roman" w:cs="Times New Roman"/>
        </w:rPr>
        <w:t>rarely</w:t>
      </w:r>
      <w:r w:rsidRPr="00DB77E4">
        <w:rPr>
          <w:rFonts w:ascii="Times New Roman" w:hAnsi="Times New Roman" w:cs="Times New Roman"/>
        </w:rPr>
        <w:t xml:space="preserve"> informed by an understanding or appreciation of the profession from the past</w:t>
      </w:r>
      <w:r w:rsidR="005A02A8" w:rsidRPr="00DB77E4">
        <w:rPr>
          <w:rFonts w:ascii="Times New Roman" w:hAnsi="Times New Roman" w:cs="Times New Roman"/>
        </w:rPr>
        <w:t xml:space="preserve"> w</w:t>
      </w:r>
      <w:r w:rsidR="00F8256F" w:rsidRPr="00DB77E4">
        <w:rPr>
          <w:rFonts w:ascii="Times New Roman" w:hAnsi="Times New Roman" w:cs="Times New Roman"/>
        </w:rPr>
        <w:t xml:space="preserve">ith some honourable exceptions such </w:t>
      </w:r>
      <w:r w:rsidR="001A06B6" w:rsidRPr="00DB77E4">
        <w:rPr>
          <w:rFonts w:ascii="Times New Roman" w:hAnsi="Times New Roman" w:cs="Times New Roman"/>
        </w:rPr>
        <w:t>as Parton, 2008</w:t>
      </w:r>
      <w:r w:rsidR="00F8256F" w:rsidRPr="00DB77E4">
        <w:rPr>
          <w:rFonts w:ascii="Times New Roman" w:hAnsi="Times New Roman" w:cs="Times New Roman"/>
        </w:rPr>
        <w:t xml:space="preserve"> and Webb, 2007</w:t>
      </w:r>
      <w:r w:rsidR="00B821C8" w:rsidRPr="00DB77E4">
        <w:rPr>
          <w:rFonts w:ascii="Times New Roman" w:hAnsi="Times New Roman" w:cs="Times New Roman"/>
        </w:rPr>
        <w:t>.</w:t>
      </w:r>
      <w:r w:rsidR="00F8256F" w:rsidRPr="00DB77E4">
        <w:rPr>
          <w:rFonts w:ascii="Times New Roman" w:hAnsi="Times New Roman" w:cs="Times New Roman"/>
        </w:rPr>
        <w:t xml:space="preserve"> </w:t>
      </w:r>
      <w:r w:rsidR="005A02A8" w:rsidRPr="00DB77E4">
        <w:rPr>
          <w:rFonts w:ascii="Times New Roman" w:hAnsi="Times New Roman" w:cs="Times New Roman"/>
        </w:rPr>
        <w:t>H</w:t>
      </w:r>
      <w:r w:rsidRPr="00DB77E4">
        <w:rPr>
          <w:rFonts w:ascii="Times New Roman" w:hAnsi="Times New Roman" w:cs="Times New Roman"/>
        </w:rPr>
        <w:t>istory generally fails to make it into social work text books, or at least fails to make it beyond the simplistic summaries of the first few pages</w:t>
      </w:r>
      <w:r w:rsidR="00F8256F" w:rsidRPr="00DB77E4">
        <w:rPr>
          <w:rFonts w:ascii="Times New Roman" w:hAnsi="Times New Roman" w:cs="Times New Roman"/>
        </w:rPr>
        <w:t xml:space="preserve"> (again with a few exceptions such as Pierson 2011, Payne, 2005). These summaries boil down to two main narratives or stories that are told about social work - in Britain at least  – of the decline of philanthropy in the late 19</w:t>
      </w:r>
      <w:r w:rsidR="00F8256F" w:rsidRPr="00DB77E4">
        <w:rPr>
          <w:rFonts w:ascii="Times New Roman" w:hAnsi="Times New Roman" w:cs="Times New Roman"/>
          <w:vertAlign w:val="superscript"/>
        </w:rPr>
        <w:t>th</w:t>
      </w:r>
      <w:r w:rsidR="00F8256F" w:rsidRPr="00DB77E4">
        <w:rPr>
          <w:rFonts w:ascii="Times New Roman" w:hAnsi="Times New Roman" w:cs="Times New Roman"/>
        </w:rPr>
        <w:t xml:space="preserve"> century and the rise of the welfare state from the mid 20th century (Younghusband, 1979, ). The extent to which religion and spirituality come up in these narratives is usually via the connection between philanthropy and Evangelical Christianity (Bowpitt, 1998) and between secularism and the rise of the state (Payne, 2005). This is, of course, far from the full picture. The first half of the 20</w:t>
      </w:r>
      <w:r w:rsidR="00F8256F" w:rsidRPr="00DB77E4">
        <w:rPr>
          <w:rFonts w:ascii="Times New Roman" w:hAnsi="Times New Roman" w:cs="Times New Roman"/>
          <w:vertAlign w:val="superscript"/>
        </w:rPr>
        <w:t>th</w:t>
      </w:r>
      <w:r w:rsidR="00F8256F" w:rsidRPr="00DB77E4">
        <w:rPr>
          <w:rFonts w:ascii="Times New Roman" w:hAnsi="Times New Roman" w:cs="Times New Roman"/>
        </w:rPr>
        <w:t xml:space="preserve"> century is rather forgotten in these accounts. The welfare state stuttered and failed to start for almost 50 years but in this period several generations of social workers still came and went. It was a period marred by poverty and war and the times shaped any social work that was carried out. This article will seek to enhance contemporary discussions of social work and spirituality by drilling down into the lives of two social workers from this transitional period, taking a biographical approach to social work history.</w:t>
      </w:r>
      <w:r w:rsidR="00A6015A" w:rsidRPr="00DB77E4">
        <w:rPr>
          <w:rFonts w:ascii="Times New Roman" w:hAnsi="Times New Roman" w:cs="Times New Roman"/>
        </w:rPr>
        <w:t xml:space="preserve"> </w:t>
      </w:r>
      <w:r w:rsidRPr="00DB77E4">
        <w:rPr>
          <w:rFonts w:ascii="Times New Roman" w:hAnsi="Times New Roman" w:cs="Times New Roman"/>
        </w:rPr>
        <w:tab/>
        <w:t xml:space="preserve">     </w:t>
      </w:r>
    </w:p>
    <w:p w:rsidR="000E3A27" w:rsidRPr="00DB77E4" w:rsidRDefault="00F8256F" w:rsidP="000E3A27">
      <w:pPr>
        <w:rPr>
          <w:rFonts w:ascii="Times New Roman" w:hAnsi="Times New Roman" w:cs="Times New Roman"/>
        </w:rPr>
      </w:pPr>
      <w:r w:rsidRPr="00DB77E4">
        <w:rPr>
          <w:rFonts w:ascii="Times New Roman" w:hAnsi="Times New Roman" w:cs="Times New Roman"/>
          <w:b/>
        </w:rPr>
        <w:lastRenderedPageBreak/>
        <w:tab/>
      </w:r>
      <w:r w:rsidRPr="00DB77E4">
        <w:rPr>
          <w:rFonts w:ascii="Times New Roman" w:hAnsi="Times New Roman" w:cs="Times New Roman"/>
        </w:rPr>
        <w:t>In 1931 Mahatma Gandhi came to London to negotiate on behalf of the Indian Congress Party at the Roundtable conference on the future of India. During this visit he stayed with the his friend  and colleague Muriel Lester and her sister Doris at a settlement or social work centre, Kingsley Hall, that they ran in Bow in the East End of London. Gandhi stayed in a room or cell at Kingsley Hall throughout this visit and his presence there can be seen as an endorsement of the work of the Lesters and as a conscious choice by Gandhi to associate himself with the poorest people in the city. The work of Kingsley Hall in London continues today and it maintains its connection with Gandhi and Gandhian ideals (</w:t>
      </w:r>
      <w:hyperlink r:id="rId8" w:history="1">
        <w:r w:rsidR="000E3A27" w:rsidRPr="00DB77E4">
          <w:rPr>
            <w:rStyle w:val="Hyperlink"/>
            <w:rFonts w:ascii="Times New Roman" w:hAnsi="Times New Roman" w:cs="Times New Roman"/>
          </w:rPr>
          <w:t>www.gandhian.foundation.com</w:t>
        </w:r>
      </w:hyperlink>
      <w:r w:rsidR="000E3A27" w:rsidRPr="00DB77E4">
        <w:rPr>
          <w:rFonts w:ascii="Times New Roman" w:hAnsi="Times New Roman" w:cs="Times New Roman"/>
        </w:rPr>
        <w:t>). Muriel Lester was by far the most renowned, indeed in some circles notorious of the t</w:t>
      </w:r>
      <w:r w:rsidRPr="00DB77E4">
        <w:rPr>
          <w:rFonts w:ascii="Times New Roman" w:hAnsi="Times New Roman" w:cs="Times New Roman"/>
        </w:rPr>
        <w:t>wo, and the article will focus on her; but Doris’s quiet work will also be shown to be entirely consistent with a Gandhian conception of social work.</w:t>
      </w:r>
    </w:p>
    <w:p w:rsidR="000E3A27" w:rsidRPr="00DB77E4" w:rsidRDefault="00F8256F" w:rsidP="00CB4407">
      <w:pPr>
        <w:rPr>
          <w:rFonts w:ascii="Times New Roman" w:hAnsi="Times New Roman" w:cs="Times New Roman"/>
        </w:rPr>
      </w:pPr>
      <w:r w:rsidRPr="00DB77E4">
        <w:rPr>
          <w:rFonts w:ascii="Times New Roman" w:hAnsi="Times New Roman" w:cs="Times New Roman"/>
        </w:rPr>
        <w:tab/>
        <w:t xml:space="preserve">This article will situate discussion within a brief literature review of Gandhian social work, and then move on to examine in more detail some of its central ideas - religious syncretism, pacifism and voluntary poverty amongst others. These ideas clearly originated in Gandhi’s fight against imperial rule in South Africa and in India.  But the focus here is not on origins but on considering the transferability of Gandhi’s ideas to UK social work contexts, through historical examination of the    work of </w:t>
      </w:r>
      <w:r w:rsidR="00B821C8" w:rsidRPr="00DB77E4">
        <w:rPr>
          <w:rFonts w:ascii="Times New Roman" w:hAnsi="Times New Roman" w:cs="Times New Roman"/>
        </w:rPr>
        <w:t>the Lesters in London.</w:t>
      </w:r>
      <w:r w:rsidRPr="00DB77E4">
        <w:rPr>
          <w:rFonts w:ascii="Times New Roman" w:hAnsi="Times New Roman" w:cs="Times New Roman"/>
        </w:rPr>
        <w:t xml:space="preserve"> Throughout, and in conclusion, the discussion will draw out meanings and suggest the significance of such Gandhian social work for contemporary practice, thereby connecting the past with the present. </w:t>
      </w:r>
    </w:p>
    <w:p w:rsidR="000E3A27" w:rsidRPr="00DB77E4" w:rsidRDefault="00F8256F" w:rsidP="000E3A27">
      <w:pPr>
        <w:rPr>
          <w:rFonts w:ascii="Times New Roman" w:hAnsi="Times New Roman" w:cs="Times New Roman"/>
        </w:rPr>
      </w:pPr>
      <w:r w:rsidRPr="00DB77E4">
        <w:rPr>
          <w:rFonts w:ascii="Times New Roman" w:hAnsi="Times New Roman" w:cs="Times New Roman"/>
          <w:b/>
        </w:rPr>
        <w:t xml:space="preserve">Gandhian social work </w:t>
      </w:r>
    </w:p>
    <w:p w:rsidR="002D2D1A" w:rsidRPr="00DB77E4" w:rsidRDefault="00F8256F" w:rsidP="00867D7D">
      <w:pPr>
        <w:rPr>
          <w:rFonts w:ascii="Times New Roman" w:hAnsi="Times New Roman" w:cs="Times New Roman"/>
        </w:rPr>
      </w:pPr>
      <w:r w:rsidRPr="00DB77E4">
        <w:t xml:space="preserve"> </w:t>
      </w:r>
      <w:r w:rsidRPr="00DB77E4">
        <w:tab/>
      </w:r>
      <w:r w:rsidRPr="00DB77E4">
        <w:rPr>
          <w:rFonts w:ascii="Times New Roman" w:hAnsi="Times New Roman" w:cs="Times New Roman"/>
        </w:rPr>
        <w:t>Gandhi himself resisted definitions of his work and placed more emphasis on deeds. “I do not know myself who is a Gandhian. Gandhism is a meaningless word for me. An ism follows a propounder of a system. I am not one...” (Gandhi in Letter to Nehru 7</w:t>
      </w:r>
      <w:r w:rsidRPr="00DB77E4">
        <w:rPr>
          <w:rFonts w:ascii="Times New Roman" w:hAnsi="Times New Roman" w:cs="Times New Roman"/>
          <w:vertAlign w:val="superscript"/>
        </w:rPr>
        <w:t>th</w:t>
      </w:r>
      <w:r w:rsidRPr="00DB77E4">
        <w:rPr>
          <w:rFonts w:ascii="Times New Roman" w:hAnsi="Times New Roman" w:cs="Times New Roman"/>
        </w:rPr>
        <w:t xml:space="preserve"> June 1946 in Brown ed. 2008, p  20.) In the same spirit, this paper resists starting with an a priori definition of Gandhian social work. Instead, through drawing on some key Gandhian ideas and tracing their enactment through the work of two key practitioners in London, it aims to arrive at a depiction of what Gandhian social work can mean in this context. </w:t>
      </w:r>
    </w:p>
    <w:p w:rsidR="002D2D1A" w:rsidRPr="00DB77E4" w:rsidRDefault="00F8256F" w:rsidP="0032594B">
      <w:pPr>
        <w:rPr>
          <w:rFonts w:ascii="Times New Roman" w:hAnsi="Times New Roman" w:cs="Times New Roman"/>
          <w:b/>
        </w:rPr>
      </w:pPr>
      <w:r w:rsidRPr="00DB77E4">
        <w:rPr>
          <w:rFonts w:ascii="Times New Roman" w:hAnsi="Times New Roman" w:cs="Times New Roman"/>
          <w:b/>
        </w:rPr>
        <w:t>Literature Review</w:t>
      </w:r>
    </w:p>
    <w:p w:rsidR="000E3A27" w:rsidRPr="00DB77E4" w:rsidRDefault="00F8256F" w:rsidP="000E3A27">
      <w:pPr>
        <w:ind w:firstLine="720"/>
        <w:rPr>
          <w:rFonts w:ascii="Times New Roman" w:hAnsi="Times New Roman" w:cs="Times New Roman"/>
        </w:rPr>
      </w:pPr>
      <w:r w:rsidRPr="00DB77E4">
        <w:rPr>
          <w:rFonts w:ascii="Times New Roman" w:hAnsi="Times New Roman" w:cs="Times New Roman"/>
        </w:rPr>
        <w:t>There is a dearth of recent research literature on Gandhi and social work</w:t>
      </w:r>
      <w:r w:rsidR="000E3A27" w:rsidRPr="00DB77E4">
        <w:rPr>
          <w:rFonts w:ascii="Times New Roman" w:hAnsi="Times New Roman" w:cs="Times New Roman"/>
        </w:rPr>
        <w:t>. Canda (2005) predicted that Gandhian social work would be an important concept for the advance of spirituality in social work, but in fact little has been written as yet. There are few substantive articles  on Gandhi to be found</w:t>
      </w:r>
      <w:r w:rsidRPr="00DB77E4">
        <w:rPr>
          <w:rFonts w:ascii="Times New Roman" w:hAnsi="Times New Roman" w:cs="Times New Roman"/>
        </w:rPr>
        <w:t xml:space="preserve"> in the major social work journals, the most recent being Singh et. Al. (2011), Narayan (2000) and Walz and Ritchie (2000), along with Westoby and Ingamells (2012) where Gandhianism is discussed only in passing. This suggests that Gandhi and social work is not a popular topic in western academic social work circles. Even in India itself, there seems to be some debate about the popularity of Gandhi’s ideas.  Singh et. al. write::</w:t>
      </w:r>
    </w:p>
    <w:p w:rsidR="00780CFA" w:rsidRPr="00DB77E4" w:rsidRDefault="00F8256F" w:rsidP="0032594B">
      <w:pPr>
        <w:ind w:left="720"/>
        <w:rPr>
          <w:rFonts w:ascii="Times New Roman" w:hAnsi="Times New Roman" w:cs="Times New Roman"/>
        </w:rPr>
      </w:pPr>
      <w:r w:rsidRPr="00DB77E4">
        <w:rPr>
          <w:rFonts w:ascii="Times New Roman" w:hAnsi="Times New Roman" w:cs="Times New Roman"/>
        </w:rPr>
        <w:t>“One would be hard pressed to find the remaining few references to Gandhi in the current NGO world in India (Singh et. al., 2011, p.867)</w:t>
      </w:r>
    </w:p>
    <w:p w:rsidR="00780CFA" w:rsidRPr="00DB77E4" w:rsidRDefault="00F8256F" w:rsidP="00780CFA">
      <w:pPr>
        <w:rPr>
          <w:rFonts w:ascii="Times New Roman" w:hAnsi="Times New Roman" w:cs="Times New Roman"/>
        </w:rPr>
      </w:pPr>
      <w:r w:rsidRPr="00DB77E4">
        <w:rPr>
          <w:rFonts w:ascii="Times New Roman" w:hAnsi="Times New Roman" w:cs="Times New Roman"/>
          <w:sz w:val="24"/>
          <w:szCs w:val="24"/>
        </w:rPr>
        <w:t>In fact, however, there is some ongoing interest and some texts that have been published on Gandhian social work in recent years</w:t>
      </w:r>
      <w:r w:rsidR="00780CFA" w:rsidRPr="00DB77E4">
        <w:rPr>
          <w:rFonts w:ascii="Times New Roman" w:hAnsi="Times New Roman" w:cs="Times New Roman"/>
          <w:sz w:val="24"/>
          <w:szCs w:val="24"/>
        </w:rPr>
        <w:t xml:space="preserve"> </w:t>
      </w:r>
      <w:r w:rsidR="005730E3" w:rsidRPr="00DB77E4">
        <w:rPr>
          <w:rFonts w:ascii="Times New Roman" w:hAnsi="Times New Roman" w:cs="Times New Roman"/>
          <w:sz w:val="24"/>
          <w:szCs w:val="24"/>
        </w:rPr>
        <w:t>includ</w:t>
      </w:r>
      <w:r w:rsidR="00DA09E8" w:rsidRPr="00DB77E4">
        <w:rPr>
          <w:rFonts w:ascii="Times New Roman" w:hAnsi="Times New Roman" w:cs="Times New Roman"/>
          <w:sz w:val="24"/>
          <w:szCs w:val="24"/>
        </w:rPr>
        <w:t xml:space="preserve">ing </w:t>
      </w:r>
      <w:r w:rsidR="00780CFA" w:rsidRPr="00DB77E4">
        <w:rPr>
          <w:rFonts w:ascii="Times New Roman" w:hAnsi="Times New Roman" w:cs="Times New Roman"/>
          <w:sz w:val="24"/>
          <w:szCs w:val="24"/>
        </w:rPr>
        <w:t>Gangrade (2010) and Joshi (2009)</w:t>
      </w:r>
      <w:r w:rsidR="00805D6A" w:rsidRPr="00DB77E4">
        <w:rPr>
          <w:rFonts w:ascii="Times New Roman" w:hAnsi="Times New Roman" w:cs="Times New Roman"/>
          <w:sz w:val="24"/>
          <w:szCs w:val="24"/>
        </w:rPr>
        <w:t>.</w:t>
      </w:r>
      <w:r w:rsidR="00780CFA" w:rsidRPr="00DB77E4">
        <w:rPr>
          <w:rFonts w:ascii="Times New Roman" w:hAnsi="Times New Roman" w:cs="Times New Roman"/>
        </w:rPr>
        <w:t xml:space="preserve"> </w:t>
      </w:r>
    </w:p>
    <w:p w:rsidR="000E3A27" w:rsidRPr="00DB77E4" w:rsidRDefault="00F8256F" w:rsidP="00BE63E8">
      <w:pPr>
        <w:rPr>
          <w:rFonts w:ascii="Times New Roman" w:hAnsi="Times New Roman" w:cs="Times New Roman"/>
        </w:rPr>
      </w:pPr>
      <w:r w:rsidRPr="00DB77E4">
        <w:rPr>
          <w:rFonts w:ascii="Times New Roman" w:hAnsi="Times New Roman" w:cs="Times New Roman"/>
        </w:rPr>
        <w:tab/>
        <w:t xml:space="preserve">Narayan presents Gandhi as an educationalist and as a political figure and Walz and Ritchie focus on his thinking in relation to social work ethics. What both articles have in common, however, is that they use some of Gandhi’s key concepts such as </w:t>
      </w:r>
      <w:r w:rsidRPr="00DB77E4">
        <w:rPr>
          <w:rFonts w:ascii="Times New Roman" w:hAnsi="Times New Roman" w:cs="Times New Roman"/>
          <w:i/>
        </w:rPr>
        <w:t xml:space="preserve">Ahimsa, Satyāgraha, </w:t>
      </w:r>
      <w:r w:rsidRPr="00DB77E4">
        <w:rPr>
          <w:rFonts w:ascii="Times New Roman" w:hAnsi="Times New Roman" w:cs="Times New Roman"/>
        </w:rPr>
        <w:t xml:space="preserve">and </w:t>
      </w:r>
      <w:r w:rsidRPr="00DB77E4">
        <w:rPr>
          <w:rFonts w:ascii="Times New Roman" w:hAnsi="Times New Roman" w:cs="Times New Roman"/>
          <w:i/>
        </w:rPr>
        <w:t>Swadesh.</w:t>
      </w:r>
      <w:r w:rsidRPr="00DB77E4">
        <w:rPr>
          <w:rFonts w:ascii="Times New Roman" w:hAnsi="Times New Roman" w:cs="Times New Roman"/>
        </w:rPr>
        <w:t xml:space="preserve"> Narayan </w:t>
      </w:r>
      <w:r w:rsidRPr="00DB77E4">
        <w:rPr>
          <w:rFonts w:ascii="Times New Roman" w:hAnsi="Times New Roman" w:cs="Times New Roman"/>
        </w:rPr>
        <w:lastRenderedPageBreak/>
        <w:t>(2000) provides simple translations of some of these terms. But in fact none of these expressions may be unproblematically translated,</w:t>
      </w:r>
      <w:r w:rsidR="000E3A27" w:rsidRPr="00DB77E4">
        <w:rPr>
          <w:rFonts w:ascii="Times New Roman" w:hAnsi="Times New Roman" w:cs="Times New Roman"/>
        </w:rPr>
        <w:t xml:space="preserve"> and one of the problems in applying Gandhian principles to social work</w:t>
      </w:r>
      <w:r w:rsidRPr="00DB77E4">
        <w:rPr>
          <w:rFonts w:ascii="Times New Roman" w:hAnsi="Times New Roman" w:cs="Times New Roman"/>
        </w:rPr>
        <w:t>, is that some of the language - sometimes in Sanskrit and sometimes words that Gandhi himself made up - can be rather impenetrable. They will repay further consideration here, with regard to social work and spirituality. In particular, their meaning and spiritual significance will be drawn out using concrete examples from the lives of the Lesters. The concepts are seen being operationalised in the work of the Lesters in London. The contribution of the article is it takes some of the ideas discussed by other social work authors and it considers how they were applied in other contexts and in other lives. This is what is meant by taking a biographical approach to history.  This article draws both on Gandhi’s original writings (Brown, 2008) and on - Chatterjee (1983), recognised by Parekh (1997, p.133) to be the standard text on Gandhi’s religious thought. Recently, as a result of the ongoing work of Kingsley Hall, an online archive (</w:t>
      </w:r>
      <w:hyperlink r:id="rId9" w:history="1">
        <w:r w:rsidR="000E3A27" w:rsidRPr="00DB77E4">
          <w:rPr>
            <w:rStyle w:val="Hyperlink"/>
            <w:rFonts w:ascii="Times New Roman" w:hAnsi="Times New Roman" w:cs="Times New Roman"/>
          </w:rPr>
          <w:t>www.muriellester.com</w:t>
        </w:r>
      </w:hyperlink>
      <w:r w:rsidR="000E3A27" w:rsidRPr="00DB77E4">
        <w:rPr>
          <w:rFonts w:ascii="Times New Roman" w:hAnsi="Times New Roman" w:cs="Times New Roman"/>
        </w:rPr>
        <w:t>) has been made availab</w:t>
      </w:r>
      <w:r w:rsidRPr="00DB77E4">
        <w:rPr>
          <w:rFonts w:ascii="Times New Roman" w:hAnsi="Times New Roman" w:cs="Times New Roman"/>
        </w:rPr>
        <w:t>le to researchers. Material on the Lesters has been drawn both from that archive, and from the Muriel Lester Reader (Deats, 1991).</w:t>
      </w:r>
    </w:p>
    <w:p w:rsidR="000E3A27" w:rsidRPr="00DB77E4" w:rsidRDefault="000E3A27" w:rsidP="000E3A27">
      <w:pPr>
        <w:rPr>
          <w:rFonts w:ascii="Times New Roman" w:hAnsi="Times New Roman" w:cs="Times New Roman"/>
          <w:b/>
          <w:iCs/>
        </w:rPr>
      </w:pPr>
    </w:p>
    <w:p w:rsidR="000E3A27" w:rsidRPr="00DB77E4" w:rsidRDefault="00F8256F" w:rsidP="000E3A27">
      <w:pPr>
        <w:rPr>
          <w:rFonts w:ascii="Times New Roman" w:hAnsi="Times New Roman" w:cs="Times New Roman"/>
          <w:b/>
          <w:iCs/>
        </w:rPr>
      </w:pPr>
      <w:r w:rsidRPr="00DB77E4">
        <w:rPr>
          <w:rFonts w:ascii="Times New Roman" w:hAnsi="Times New Roman" w:cs="Times New Roman"/>
          <w:b/>
          <w:iCs/>
        </w:rPr>
        <w:t>Ahimsa</w:t>
      </w:r>
    </w:p>
    <w:p w:rsidR="000E3A27" w:rsidRPr="00DB77E4" w:rsidRDefault="00F8256F" w:rsidP="000E3A27">
      <w:pPr>
        <w:rPr>
          <w:rFonts w:ascii="Times New Roman" w:hAnsi="Times New Roman" w:cs="Times New Roman"/>
          <w:b/>
          <w:i/>
        </w:rPr>
      </w:pPr>
      <w:r w:rsidRPr="00DB77E4">
        <w:rPr>
          <w:rFonts w:ascii="Times New Roman" w:hAnsi="Times New Roman" w:cs="Times New Roman"/>
          <w:i/>
        </w:rPr>
        <w:tab/>
        <w:t>Ahimsa</w:t>
      </w:r>
      <w:r w:rsidRPr="00DB77E4">
        <w:rPr>
          <w:rFonts w:ascii="Times New Roman" w:hAnsi="Times New Roman" w:cs="Times New Roman"/>
        </w:rPr>
        <w:t>, according to Narayan (2000, p.195), means ‘non-violence’. But this is not enough.  As Parekh (1997) explains, Ahimsa is not a passive but a proactive, spiritually elevated expression of non-violence, of the sort enacted by both Gandhi and arguably by Lester, as fighters for peace.</w:t>
      </w:r>
      <w:r w:rsidR="000E3A27" w:rsidRPr="00DB77E4">
        <w:rPr>
          <w:rFonts w:ascii="Times New Roman" w:hAnsi="Times New Roman" w:cs="Times New Roman"/>
        </w:rPr>
        <w:t xml:space="preserve"> </w:t>
      </w:r>
      <w:r w:rsidR="00780CFA" w:rsidRPr="00DB77E4">
        <w:rPr>
          <w:rFonts w:ascii="Times New Roman" w:hAnsi="Times New Roman" w:cs="Times New Roman"/>
        </w:rPr>
        <w:t xml:space="preserve"> </w:t>
      </w:r>
      <w:r w:rsidRPr="00DB77E4">
        <w:rPr>
          <w:rFonts w:ascii="Times New Roman" w:hAnsi="Times New Roman" w:cs="Times New Roman"/>
        </w:rPr>
        <w:t xml:space="preserve">The non-violence of practitioners has not been explicitly considered, and neither has non-violence as a spiritual perspective. How does a social worker incorporate non-violence into their practice? How do they go about being non-violent as a social worker?  Muriel Lester’s work, and her response to the wars of her time, provides one sort of exemplar, and it also sheds light on some of the complexity of what may be characterised as </w:t>
      </w:r>
      <w:r w:rsidRPr="00DB77E4">
        <w:rPr>
          <w:rFonts w:ascii="Times New Roman" w:hAnsi="Times New Roman" w:cs="Times New Roman"/>
          <w:i/>
        </w:rPr>
        <w:t>Ahimsa</w:t>
      </w:r>
      <w:r w:rsidRPr="00DB77E4">
        <w:rPr>
          <w:rFonts w:ascii="Times New Roman" w:hAnsi="Times New Roman" w:cs="Times New Roman"/>
        </w:rPr>
        <w:t>, with commonality as well as contrasts between Lester’s response to the war and that of Gandhi himself.</w:t>
      </w:r>
      <w:r w:rsidRPr="00DB77E4">
        <w:rPr>
          <w:rFonts w:ascii="Times New Roman" w:hAnsi="Times New Roman" w:cs="Times New Roman"/>
          <w:b/>
          <w:i/>
        </w:rPr>
        <w:t xml:space="preserve"> </w:t>
      </w:r>
    </w:p>
    <w:p w:rsidR="000E3A27" w:rsidRPr="00DB77E4" w:rsidRDefault="00F8256F" w:rsidP="000E3A27">
      <w:pPr>
        <w:rPr>
          <w:rFonts w:ascii="Times New Roman" w:hAnsi="Times New Roman" w:cs="Times New Roman"/>
          <w:b/>
          <w:i/>
        </w:rPr>
      </w:pPr>
      <w:r w:rsidRPr="00DB77E4">
        <w:rPr>
          <w:rFonts w:ascii="Times New Roman" w:hAnsi="Times New Roman" w:cs="Times New Roman"/>
        </w:rPr>
        <w:tab/>
        <w:t>Gandhi arrived in London just after the start of the First World War and stayed just a few months. While there he recruited and formed a Volunteer Ambulance Corps. He had done this before in the Boer War and was decried in some quarters as a recruiting sergeant for the British.  For those who know Gandhi as a great pacifist, it is somewhat strange to consider that at points in his life he was a tacit supporter of the British empire and their armed forces. Gandhi’s response was that one must love the Empire first and change it later and he certainly at this time saw it as politically astute to align himself with the British. There were however other more radical pacifist responses to the war, Muriel Lester’s notable amongst them.</w:t>
      </w:r>
    </w:p>
    <w:p w:rsidR="000E3A27" w:rsidRPr="00DB77E4" w:rsidRDefault="00F8256F" w:rsidP="000E3A27">
      <w:pPr>
        <w:ind w:firstLine="720"/>
        <w:rPr>
          <w:rFonts w:ascii="Times New Roman" w:hAnsi="Times New Roman" w:cs="Times New Roman"/>
        </w:rPr>
      </w:pPr>
      <w:r w:rsidRPr="00DB77E4">
        <w:rPr>
          <w:rFonts w:ascii="Times New Roman" w:hAnsi="Times New Roman" w:cs="Times New Roman"/>
        </w:rPr>
        <w:t xml:space="preserve"> Muriel Lester was the daughter of a rich industrialist. She and her sister were privately educated. Lester had the opportunity to go to university but chose instead to involve herself in social work in the East End of London. Her sister Doris did likewise. For a number of years though Lester led a strange double life –spending the summers in Bow and the winters with her privileged family on the French Riviera. It was not until she was 28 that she moved to Bow permanently. When their brother Kingsley died prematurely he left the sisters his wealth which they chose to spend on their work – hence Kingsley Hall. It was here that they forged a form of social work that closely connected to the community and the local population but also directly engaged in wider matters and in a time of war, this meant non-violent resistance.    </w:t>
      </w:r>
    </w:p>
    <w:p w:rsidR="000E3A27" w:rsidRPr="00DB77E4" w:rsidRDefault="00F8256F" w:rsidP="0041474E">
      <w:pPr>
        <w:rPr>
          <w:rFonts w:ascii="Times New Roman" w:hAnsi="Times New Roman" w:cs="Times New Roman"/>
        </w:rPr>
      </w:pPr>
      <w:r w:rsidRPr="00DB77E4">
        <w:rPr>
          <w:rFonts w:ascii="Times New Roman" w:hAnsi="Times New Roman" w:cs="Times New Roman"/>
        </w:rPr>
        <w:lastRenderedPageBreak/>
        <w:tab/>
        <w:t xml:space="preserve">By the time of the First World War Lester had read </w:t>
      </w:r>
      <w:r w:rsidR="00ED76A8" w:rsidRPr="00DB77E4">
        <w:rPr>
          <w:rFonts w:ascii="Times New Roman" w:hAnsi="Times New Roman" w:cs="Times New Roman"/>
        </w:rPr>
        <w:t xml:space="preserve">Tolstoy’s </w:t>
      </w:r>
      <w:r w:rsidR="00ED76A8" w:rsidRPr="00DB77E4">
        <w:rPr>
          <w:rFonts w:ascii="Times New Roman" w:hAnsi="Times New Roman" w:cs="Times New Roman"/>
          <w:i/>
          <w:iCs/>
        </w:rPr>
        <w:t>The</w:t>
      </w:r>
      <w:r w:rsidRPr="00DB77E4">
        <w:rPr>
          <w:rFonts w:ascii="Times New Roman" w:hAnsi="Times New Roman" w:cs="Times New Roman"/>
          <w:i/>
        </w:rPr>
        <w:t xml:space="preserve"> Kingdom of God is Within You </w:t>
      </w:r>
      <w:r w:rsidRPr="00DB77E4">
        <w:rPr>
          <w:rFonts w:ascii="Times New Roman" w:hAnsi="Times New Roman" w:cs="Times New Roman"/>
        </w:rPr>
        <w:t xml:space="preserve">which converted her to an absolutist form of pacifism from which she never wavered. This pacifism also moulded her social work activities in great part. Lester spent the First World War fighting to end the Royal Navy blockade of Northern Europe so that  children could be fed, supporting ethnic German families living in London who were subject to persecution (such as happened after the U-boat sinking of the ship </w:t>
      </w:r>
      <w:r w:rsidRPr="00DB77E4">
        <w:rPr>
          <w:rFonts w:ascii="Times New Roman" w:hAnsi="Times New Roman" w:cs="Times New Roman"/>
          <w:i/>
        </w:rPr>
        <w:t>The Lusitania</w:t>
      </w:r>
      <w:r w:rsidRPr="00DB77E4">
        <w:rPr>
          <w:rFonts w:ascii="Times New Roman" w:hAnsi="Times New Roman" w:cs="Times New Roman"/>
        </w:rPr>
        <w:t>)</w:t>
      </w:r>
      <w:r w:rsidR="000E3A27" w:rsidRPr="00DB77E4">
        <w:rPr>
          <w:rFonts w:ascii="Times New Roman" w:hAnsi="Times New Roman" w:cs="Times New Roman"/>
        </w:rPr>
        <w:t xml:space="preserve"> and visiting conscientious objectors in prison. </w:t>
      </w:r>
      <w:r w:rsidRPr="00DB77E4">
        <w:rPr>
          <w:rFonts w:ascii="Times New Roman" w:hAnsi="Times New Roman" w:cs="Times New Roman"/>
        </w:rPr>
        <w:t>Lester was also, in December 1914, the co-founder of the Fellowship of Reconciliation with the German clergyman Friedrich Schultze which worked to maintain fellowship between British and German Christians, usually pacifists, despite the conflict. Lester was a particularly belligerent, combative type of pacifist. She went out of her way to make trouble if it would help her cause. She also had a sense, like Gandhi, of what might stir people up or might light the blue touch paper of debate. In wartime, for example, she campaigned against the use of the Lord’s Prayer. For so many people this prayer is part of a common linguistic experience of faith and so provides reassurance. Lester objected to praying with the phrase “Our Father” if that amounted to a claim that God was ours and not theirs (the enemy’s). Similarly, in the Second World War when so many former pacifists had come to the view that so evil an enemy as Nazism must be opposed with force, Lester held the Gandhian and arguably Christian view that a response to violence was to do with oneself and did not depend on the morality of the enemy. She encapsulated this position in the slogan “</w:t>
      </w:r>
      <w:r w:rsidRPr="00DB77E4">
        <w:rPr>
          <w:rFonts w:ascii="Times New Roman" w:hAnsi="Times New Roman" w:cs="Times New Roman"/>
          <w:i/>
          <w:iCs/>
        </w:rPr>
        <w:t>No moratorium on the Sermon on the Mount</w:t>
      </w:r>
      <w:r w:rsidRPr="00DB77E4">
        <w:rPr>
          <w:rStyle w:val="EndnoteReference"/>
          <w:rFonts w:ascii="Times New Roman" w:hAnsi="Times New Roman" w:cs="Times New Roman"/>
        </w:rPr>
        <w:t>”</w:t>
      </w:r>
      <w:r w:rsidR="000E3A27" w:rsidRPr="00DB77E4">
        <w:rPr>
          <w:rStyle w:val="EndnoteReference"/>
          <w:rFonts w:ascii="Times New Roman" w:hAnsi="Times New Roman" w:cs="Times New Roman"/>
        </w:rPr>
        <w:endnoteReference w:id="1"/>
      </w:r>
      <w:r w:rsidR="000E3A27" w:rsidRPr="00DB77E4">
        <w:rPr>
          <w:rFonts w:ascii="Times New Roman" w:hAnsi="Times New Roman" w:cs="Times New Roman"/>
        </w:rPr>
        <w:t xml:space="preserve">. For </w:t>
      </w:r>
      <w:r w:rsidR="00E96506" w:rsidRPr="00DB77E4">
        <w:rPr>
          <w:rFonts w:ascii="Times New Roman" w:hAnsi="Times New Roman" w:cs="Times New Roman"/>
        </w:rPr>
        <w:t>taking this stand she was intern</w:t>
      </w:r>
      <w:r w:rsidRPr="00DB77E4">
        <w:rPr>
          <w:rFonts w:ascii="Times New Roman" w:hAnsi="Times New Roman" w:cs="Times New Roman"/>
        </w:rPr>
        <w:t xml:space="preserve">ed and subsequently spent some months in Royal Holloway prison. </w:t>
      </w:r>
    </w:p>
    <w:p w:rsidR="000E3A27" w:rsidRPr="00DB77E4" w:rsidRDefault="00F8256F" w:rsidP="000E3A27">
      <w:pPr>
        <w:rPr>
          <w:rFonts w:ascii="Times New Roman" w:hAnsi="Times New Roman" w:cs="Times New Roman"/>
        </w:rPr>
      </w:pPr>
      <w:r w:rsidRPr="00DB77E4">
        <w:rPr>
          <w:rFonts w:ascii="Times New Roman" w:hAnsi="Times New Roman" w:cs="Times New Roman"/>
        </w:rPr>
        <w:tab/>
        <w:t xml:space="preserve">The term </w:t>
      </w:r>
      <w:r w:rsidRPr="00DB77E4">
        <w:rPr>
          <w:rFonts w:ascii="Times New Roman" w:hAnsi="Times New Roman" w:cs="Times New Roman"/>
          <w:i/>
        </w:rPr>
        <w:t>Ahimsa</w:t>
      </w:r>
      <w:r w:rsidRPr="00DB77E4">
        <w:rPr>
          <w:rFonts w:ascii="Times New Roman" w:hAnsi="Times New Roman" w:cs="Times New Roman"/>
        </w:rPr>
        <w:t xml:space="preserve"> has sometimes been incorrectly associated in Gandhian thinking with the idea of passive resistance but as has been made clear it is not a word that indicates passivity and likewise there was clearly nothing passive about Lester’s resistance to injustice. In terms of the consequences of such thinking for contemporary practice it is important to see the possible link between activism and social work practice and to see that pacifist ideology need not be vague or weak.</w:t>
      </w:r>
    </w:p>
    <w:p w:rsidR="000E3A27" w:rsidRPr="00DB77E4" w:rsidRDefault="00F8256F" w:rsidP="000E3A27">
      <w:pPr>
        <w:rPr>
          <w:rFonts w:ascii="Times New Roman" w:hAnsi="Times New Roman" w:cs="Times New Roman"/>
          <w:b/>
          <w:iCs/>
        </w:rPr>
      </w:pPr>
      <w:r w:rsidRPr="00DB77E4">
        <w:rPr>
          <w:rFonts w:ascii="Times New Roman" w:hAnsi="Times New Roman" w:cs="Times New Roman"/>
          <w:b/>
          <w:iCs/>
        </w:rPr>
        <w:t>Satyāgraha</w:t>
      </w:r>
    </w:p>
    <w:p w:rsidR="000E3A27" w:rsidRPr="00DB77E4" w:rsidRDefault="00F8256F" w:rsidP="000E3A27">
      <w:pPr>
        <w:ind w:firstLine="720"/>
        <w:rPr>
          <w:rFonts w:ascii="Times New Roman" w:hAnsi="Times New Roman" w:cs="Times New Roman"/>
          <w:i/>
        </w:rPr>
      </w:pPr>
      <w:r w:rsidRPr="00DB77E4">
        <w:rPr>
          <w:rFonts w:ascii="Times New Roman" w:hAnsi="Times New Roman" w:cs="Times New Roman"/>
        </w:rPr>
        <w:t xml:space="preserve">One of the most difficult of Gandhian terms to grasp is the term </w:t>
      </w:r>
      <w:r w:rsidRPr="00DB77E4">
        <w:rPr>
          <w:rFonts w:ascii="Times New Roman" w:hAnsi="Times New Roman" w:cs="Times New Roman"/>
          <w:i/>
        </w:rPr>
        <w:t xml:space="preserve">Satyāgraha. </w:t>
      </w:r>
      <w:r w:rsidRPr="00DB77E4">
        <w:rPr>
          <w:rFonts w:ascii="Times New Roman" w:hAnsi="Times New Roman" w:cs="Times New Roman"/>
        </w:rPr>
        <w:t>Its complexity means that I will cover some aspects of the nature of it in this discussion. It is</w:t>
      </w:r>
      <w:r w:rsidRPr="00DB77E4">
        <w:rPr>
          <w:rFonts w:ascii="Times New Roman" w:hAnsi="Times New Roman" w:cs="Times New Roman"/>
          <w:i/>
        </w:rPr>
        <w:t xml:space="preserve"> </w:t>
      </w:r>
      <w:r w:rsidRPr="00DB77E4">
        <w:rPr>
          <w:rFonts w:ascii="Times New Roman" w:hAnsi="Times New Roman" w:cs="Times New Roman"/>
        </w:rPr>
        <w:t>commonly interpreted as ‘soul-force’ (Par</w:t>
      </w:r>
      <w:r w:rsidR="00A14446" w:rsidRPr="00DB77E4">
        <w:rPr>
          <w:rFonts w:ascii="Times New Roman" w:hAnsi="Times New Roman" w:cs="Times New Roman"/>
        </w:rPr>
        <w:t>e</w:t>
      </w:r>
      <w:r w:rsidRPr="00DB77E4">
        <w:rPr>
          <w:rFonts w:ascii="Times New Roman" w:hAnsi="Times New Roman" w:cs="Times New Roman"/>
        </w:rPr>
        <w:t xml:space="preserve">kh, 1997, p. 119)). Parekh usefully expands on this definition using the language of religious syncretism. He claims that </w:t>
      </w:r>
      <w:r w:rsidRPr="00DB77E4">
        <w:rPr>
          <w:rFonts w:ascii="Times New Roman" w:hAnsi="Times New Roman" w:cs="Times New Roman"/>
          <w:i/>
        </w:rPr>
        <w:t>Satyāgraha</w:t>
      </w:r>
      <w:r w:rsidRPr="00DB77E4">
        <w:rPr>
          <w:rFonts w:ascii="Times New Roman" w:hAnsi="Times New Roman" w:cs="Times New Roman"/>
        </w:rPr>
        <w:t xml:space="preserve"> brings together:</w:t>
      </w:r>
      <w:r w:rsidRPr="00DB77E4">
        <w:rPr>
          <w:rFonts w:ascii="Times New Roman" w:hAnsi="Times New Roman" w:cs="Times New Roman"/>
          <w:i/>
        </w:rPr>
        <w:t xml:space="preserve">  </w:t>
      </w:r>
    </w:p>
    <w:p w:rsidR="000E3A27" w:rsidRPr="00DB77E4" w:rsidRDefault="00F8256F" w:rsidP="000E3A27">
      <w:pPr>
        <w:ind w:left="720"/>
        <w:rPr>
          <w:rFonts w:ascii="Times New Roman" w:hAnsi="Times New Roman" w:cs="Times New Roman"/>
        </w:rPr>
      </w:pPr>
      <w:r w:rsidRPr="00DB77E4">
        <w:rPr>
          <w:rFonts w:ascii="Times New Roman" w:hAnsi="Times New Roman" w:cs="Times New Roman"/>
          <w:i/>
        </w:rPr>
        <w:t>“…</w:t>
      </w:r>
      <w:r w:rsidRPr="00DB77E4">
        <w:rPr>
          <w:rFonts w:ascii="Times New Roman" w:hAnsi="Times New Roman" w:cs="Times New Roman"/>
        </w:rPr>
        <w:t>Hindu and Christian traditions but has never been a part of either. It is basically composed of three important ideas, namely the spiritual nature of human beings, the power of suffering love, and the skilful use of the latter to reach out and to activate the moral energies of others. The first metaphysical belief is common to both Hinduism and Christianity and indeed to all other religions; the ontology of suffering love is unique to Christianity and Gandhi himself said he borrowed it from the latter: the idea that the soul is energy, that two souls can communicate by non lingual means, and that they can influence and activate each other is an important part of Hindu epistemology…Since by and large Christianity lacks the third, and Hinduism the second element, one needed to be deeply familiar with both traditions in order to arrive at anything resembling the Gandhian concept of Satyāgraha” (Parekh, 1997, p.119)</w:t>
      </w:r>
    </w:p>
    <w:p w:rsidR="000E3A27" w:rsidRPr="00DB77E4" w:rsidRDefault="00F8256F" w:rsidP="000E3A27">
      <w:pPr>
        <w:ind w:firstLine="720"/>
        <w:rPr>
          <w:rFonts w:ascii="Times New Roman" w:hAnsi="Times New Roman" w:cs="Times New Roman"/>
        </w:rPr>
      </w:pPr>
      <w:r w:rsidRPr="00DB77E4">
        <w:rPr>
          <w:rFonts w:ascii="Times New Roman" w:hAnsi="Times New Roman" w:cs="Times New Roman"/>
        </w:rPr>
        <w:t xml:space="preserve">Gandhi’s religious syncretism can be traced back to his first time in London as a young law student in the late 1880s. It was here that he was introduced to the Hindu scripture the </w:t>
      </w:r>
      <w:r w:rsidRPr="00DB77E4">
        <w:rPr>
          <w:rFonts w:ascii="Times New Roman" w:hAnsi="Times New Roman" w:cs="Times New Roman"/>
          <w:i/>
        </w:rPr>
        <w:t xml:space="preserve">Bhagavad Gita </w:t>
      </w:r>
      <w:r w:rsidRPr="00DB77E4">
        <w:rPr>
          <w:rFonts w:ascii="Times New Roman" w:hAnsi="Times New Roman" w:cs="Times New Roman"/>
        </w:rPr>
        <w:t>by members of the London Theosophical Society. As Chatterjee explains:</w:t>
      </w:r>
    </w:p>
    <w:p w:rsidR="000E3A27" w:rsidRPr="00DB77E4" w:rsidRDefault="00F8256F" w:rsidP="000E3A27">
      <w:pPr>
        <w:ind w:left="720"/>
        <w:rPr>
          <w:rFonts w:ascii="Times New Roman" w:hAnsi="Times New Roman" w:cs="Times New Roman"/>
        </w:rPr>
      </w:pPr>
      <w:r w:rsidRPr="00DB77E4">
        <w:rPr>
          <w:rFonts w:ascii="Times New Roman" w:hAnsi="Times New Roman" w:cs="Times New Roman"/>
        </w:rPr>
        <w:lastRenderedPageBreak/>
        <w:t xml:space="preserve">“In London, Gandhi was exposed to many influences which left their mark on him in later life, vegetarianism, free-thinking (the two were often conjoined), and a homespun brand of genuine piety …At the same time, he encountered the teaching of the Lord Buddha and found much in common between the spirit of renunciation and compassion expressed in the lives of both Lord Buddha and Christ.” (1983, p. 41) </w:t>
      </w:r>
    </w:p>
    <w:p w:rsidR="000E3A27" w:rsidRPr="00DB77E4" w:rsidRDefault="00F8256F" w:rsidP="000E3A27">
      <w:pPr>
        <w:rPr>
          <w:rFonts w:ascii="Times New Roman" w:hAnsi="Times New Roman" w:cs="Times New Roman"/>
        </w:rPr>
      </w:pPr>
      <w:r w:rsidRPr="00DB77E4">
        <w:rPr>
          <w:rFonts w:ascii="Times New Roman" w:hAnsi="Times New Roman" w:cs="Times New Roman"/>
        </w:rPr>
        <w:tab/>
        <w:t xml:space="preserve">In Lester’s case, by contrast, there was no suggestion of religious syncretism. She spent some considerable time in India but there was no possibility of her converting to another faith; her Christianity was straightforward and unflinching. Nevertheless it is possible to trace an outworking of an idea such as </w:t>
      </w:r>
      <w:r w:rsidRPr="00DB77E4">
        <w:rPr>
          <w:rFonts w:ascii="Times New Roman" w:hAnsi="Times New Roman" w:cs="Times New Roman"/>
          <w:i/>
        </w:rPr>
        <w:t>Satyāgraha</w:t>
      </w:r>
      <w:r w:rsidRPr="00DB77E4">
        <w:rPr>
          <w:rFonts w:ascii="Times New Roman" w:hAnsi="Times New Roman" w:cs="Times New Roman"/>
        </w:rPr>
        <w:t xml:space="preserve"> in the detail of her political and social work. As Chairman of Maternity and Child Welfare Committee for the borough of Poplar, between 1921 and 1924, she combated sewage flooding, rat infestations and most notably fought the government over their proposed cuts to free milk to children. She describes appearing before a government committee:</w:t>
      </w:r>
    </w:p>
    <w:p w:rsidR="000E3A27" w:rsidRPr="00DB77E4" w:rsidRDefault="00F8256F" w:rsidP="000E3A27">
      <w:pPr>
        <w:ind w:left="720"/>
        <w:rPr>
          <w:rFonts w:ascii="Times New Roman" w:hAnsi="Times New Roman" w:cs="Times New Roman"/>
        </w:rPr>
      </w:pPr>
      <w:r w:rsidRPr="00DB77E4">
        <w:rPr>
          <w:rFonts w:ascii="Times New Roman" w:hAnsi="Times New Roman" w:cs="Times New Roman"/>
        </w:rPr>
        <w:t>“Can you tell us why” inquired the suave voice “when every other local authority throughout the country has accepted the unfortunate necessity of curtailing expenditure on maternity and child welfare, you alone have refused?” “I think I can,” I answered in mild tones. “It’s because ours is the only Maternity and Child Welfare committee composed wholly of people who live in the same streets and alleys as the children. We can see them every day. We should have to watch them growing pale and thin and weak if the milk grant were to be lowered.” (Deats, 1991 p. 82)</w:t>
      </w:r>
    </w:p>
    <w:p w:rsidR="00225706" w:rsidRPr="00DB77E4" w:rsidRDefault="00F8256F" w:rsidP="000E3A27">
      <w:pPr>
        <w:rPr>
          <w:rFonts w:ascii="Times New Roman" w:hAnsi="Times New Roman" w:cs="Times New Roman"/>
        </w:rPr>
      </w:pPr>
      <w:r w:rsidRPr="00DB77E4">
        <w:rPr>
          <w:rFonts w:ascii="Times New Roman" w:hAnsi="Times New Roman" w:cs="Times New Roman"/>
        </w:rPr>
        <w:t xml:space="preserve">For purposes of this analysis, this encounter might well be viewed as a </w:t>
      </w:r>
      <w:r w:rsidRPr="00DB77E4">
        <w:rPr>
          <w:rFonts w:ascii="Times New Roman" w:hAnsi="Times New Roman" w:cs="Times New Roman"/>
          <w:i/>
        </w:rPr>
        <w:t xml:space="preserve">Satyāgraha </w:t>
      </w:r>
      <w:r w:rsidRPr="00DB77E4">
        <w:rPr>
          <w:rFonts w:ascii="Times New Roman" w:hAnsi="Times New Roman" w:cs="Times New Roman"/>
        </w:rPr>
        <w:t>moment.</w:t>
      </w:r>
      <w:r w:rsidRPr="00DB77E4">
        <w:rPr>
          <w:rFonts w:ascii="Times New Roman" w:hAnsi="Times New Roman" w:cs="Times New Roman"/>
          <w:i/>
        </w:rPr>
        <w:t xml:space="preserve"> </w:t>
      </w:r>
      <w:r w:rsidRPr="00DB77E4">
        <w:rPr>
          <w:rFonts w:ascii="Times New Roman" w:hAnsi="Times New Roman" w:cs="Times New Roman"/>
        </w:rPr>
        <w:t>One can almost perceive the transfer of energy between the individuals involved. Needless to say within a few days the local borough had their funding for milk restored. Though, having won this battle locally, Lester did not go on to take up the cause of “milk”</w:t>
      </w:r>
      <w:r w:rsidR="000E3A27" w:rsidRPr="00DB77E4">
        <w:rPr>
          <w:rStyle w:val="EndnoteReference"/>
          <w:rFonts w:ascii="Times New Roman" w:hAnsi="Times New Roman" w:cs="Times New Roman"/>
        </w:rPr>
        <w:endnoteReference w:id="2"/>
      </w:r>
      <w:r w:rsidR="000E3A27" w:rsidRPr="00DB77E4">
        <w:rPr>
          <w:rFonts w:ascii="Times New Roman" w:hAnsi="Times New Roman" w:cs="Times New Roman"/>
        </w:rPr>
        <w:t xml:space="preserve"> or children’s rights more broadly as</w:t>
      </w:r>
      <w:r w:rsidRPr="00DB77E4">
        <w:rPr>
          <w:rFonts w:ascii="Times New Roman" w:hAnsi="Times New Roman" w:cs="Times New Roman"/>
        </w:rPr>
        <w:t xml:space="preserve"> a national campaign, she did proceed with other national campaigns, discussed below. For present purposes, the idea of </w:t>
      </w:r>
      <w:r w:rsidRPr="00DB77E4">
        <w:rPr>
          <w:rFonts w:ascii="Times New Roman" w:hAnsi="Times New Roman" w:cs="Times New Roman"/>
          <w:bCs/>
          <w:i/>
        </w:rPr>
        <w:t>Satyāgraha</w:t>
      </w:r>
      <w:r w:rsidR="004734C0" w:rsidRPr="00DB77E4">
        <w:rPr>
          <w:rFonts w:ascii="Times New Roman" w:hAnsi="Times New Roman" w:cs="Times New Roman"/>
        </w:rPr>
        <w:t xml:space="preserve"> is </w:t>
      </w:r>
      <w:r w:rsidRPr="00DB77E4">
        <w:rPr>
          <w:rFonts w:ascii="Times New Roman" w:hAnsi="Times New Roman" w:cs="Times New Roman"/>
        </w:rPr>
        <w:t>clearly an important one for social work, and one that has resonance for cont</w:t>
      </w:r>
      <w:r w:rsidR="004734C0" w:rsidRPr="00DB77E4">
        <w:rPr>
          <w:rFonts w:ascii="Times New Roman" w:hAnsi="Times New Roman" w:cs="Times New Roman"/>
        </w:rPr>
        <w:t xml:space="preserve">emporary practice. It captures </w:t>
      </w:r>
      <w:r w:rsidRPr="00DB77E4">
        <w:rPr>
          <w:rFonts w:ascii="Times New Roman" w:hAnsi="Times New Roman" w:cs="Times New Roman"/>
        </w:rPr>
        <w:t xml:space="preserve">what goes on in interpersonal relationships in a way that has resonance with ideas more familiar from other disciplines – for example the flow of affect or emotion in psychodynamic practice. But, </w:t>
      </w:r>
      <w:r w:rsidRPr="00DB77E4">
        <w:rPr>
          <w:rFonts w:ascii="Times New Roman" w:hAnsi="Times New Roman" w:cs="Times New Roman"/>
          <w:i/>
        </w:rPr>
        <w:t>Satyāgraha</w:t>
      </w:r>
      <w:r w:rsidRPr="00DB77E4">
        <w:rPr>
          <w:rFonts w:ascii="Times New Roman" w:hAnsi="Times New Roman" w:cs="Times New Roman"/>
        </w:rPr>
        <w:t xml:space="preserve"> has in addition a campaigning element to it that is found nowhere else. Moreover, the broad idea that religious or spiritual concepts can be combined for powerful effect in social work has not been recognised in contemporary discussions about what does or does not constitute spirituality or religion and which particular faith traditions may have influence in social work practice.</w:t>
      </w:r>
    </w:p>
    <w:p w:rsidR="00225706" w:rsidRPr="00DB77E4" w:rsidRDefault="00F8256F" w:rsidP="000E3A27">
      <w:pPr>
        <w:rPr>
          <w:rFonts w:ascii="Times New Roman" w:hAnsi="Times New Roman" w:cs="Times New Roman"/>
          <w:b/>
          <w:iCs/>
        </w:rPr>
      </w:pPr>
      <w:r w:rsidRPr="00DB77E4">
        <w:rPr>
          <w:rFonts w:ascii="Times New Roman" w:hAnsi="Times New Roman" w:cs="Times New Roman"/>
          <w:b/>
          <w:iCs/>
        </w:rPr>
        <w:t>Bramacharya</w:t>
      </w:r>
    </w:p>
    <w:p w:rsidR="00376CC1" w:rsidRPr="00DB77E4" w:rsidRDefault="00F8256F" w:rsidP="001A5644">
      <w:pPr>
        <w:ind w:firstLine="720"/>
        <w:rPr>
          <w:rFonts w:ascii="Times New Roman" w:hAnsi="Times New Roman" w:cs="Times New Roman"/>
        </w:rPr>
      </w:pPr>
      <w:r w:rsidRPr="00DB77E4">
        <w:rPr>
          <w:rFonts w:ascii="Times New Roman" w:hAnsi="Times New Roman" w:cs="Times New Roman"/>
        </w:rPr>
        <w:t>The concept of the transfer of energy is also relevant to another Gandhian concept –</w:t>
      </w:r>
      <w:r w:rsidRPr="00DB77E4">
        <w:rPr>
          <w:rFonts w:ascii="Times New Roman" w:hAnsi="Times New Roman" w:cs="Times New Roman"/>
          <w:i/>
          <w:iCs/>
        </w:rPr>
        <w:t>Bramacharya</w:t>
      </w:r>
      <w:r w:rsidRPr="00DB77E4">
        <w:rPr>
          <w:rFonts w:ascii="Times New Roman" w:hAnsi="Times New Roman" w:cs="Times New Roman"/>
        </w:rPr>
        <w:t xml:space="preserve">, also perhaps germane to understanding the experience of contemporary social </w:t>
      </w:r>
      <w:r w:rsidR="001C5DA9">
        <w:rPr>
          <w:rFonts w:ascii="Times New Roman" w:hAnsi="Times New Roman" w:cs="Times New Roman"/>
        </w:rPr>
        <w:t>workers.</w:t>
      </w:r>
      <w:r w:rsidRPr="00DB77E4">
        <w:rPr>
          <w:rFonts w:ascii="Times New Roman" w:hAnsi="Times New Roman" w:cs="Times New Roman"/>
        </w:rPr>
        <w:t xml:space="preserve"> One of the most controversial Gandhian ideas,</w:t>
      </w:r>
      <w:r w:rsidRPr="00DB77E4">
        <w:rPr>
          <w:rFonts w:ascii="Times New Roman" w:hAnsi="Times New Roman" w:cs="Times New Roman"/>
          <w:i/>
          <w:iCs/>
        </w:rPr>
        <w:t xml:space="preserve"> Bramacharya</w:t>
      </w:r>
      <w:r w:rsidRPr="00DB77E4">
        <w:rPr>
          <w:rFonts w:ascii="Times New Roman" w:hAnsi="Times New Roman" w:cs="Times New Roman"/>
        </w:rPr>
        <w:t>, covers Gandhi’s views on cleanliness and sex. Gandhi at one point in his life chose not to engage in sexual activity and redirected his sexual/spiritual energy into his political and social campaigning</w:t>
      </w:r>
      <w:r w:rsidRPr="00DB77E4">
        <w:rPr>
          <w:rFonts w:ascii="Times New Roman" w:hAnsi="Times New Roman" w:cs="Times New Roman"/>
          <w:i/>
          <w:iCs/>
        </w:rPr>
        <w:t xml:space="preserve">.  </w:t>
      </w:r>
      <w:r w:rsidRPr="00DB77E4">
        <w:rPr>
          <w:rFonts w:ascii="Times New Roman" w:hAnsi="Times New Roman" w:cs="Times New Roman"/>
        </w:rPr>
        <w:t>Lester similarly viewed sex as a problem (Deats, 1991 p.94) or as an outlet for energy that could better be used productively els</w:t>
      </w:r>
      <w:r w:rsidR="001A06B6" w:rsidRPr="00DB77E4">
        <w:rPr>
          <w:rFonts w:ascii="Times New Roman" w:hAnsi="Times New Roman" w:cs="Times New Roman"/>
        </w:rPr>
        <w:t xml:space="preserve">ewhere. However it is the idea </w:t>
      </w:r>
      <w:r w:rsidRPr="00DB77E4">
        <w:rPr>
          <w:rFonts w:ascii="Times New Roman" w:hAnsi="Times New Roman" w:cs="Times New Roman"/>
        </w:rPr>
        <w:t>of restraint and the redirection of energy, rather than its direct application to sexuality, that is more broadly relevant for social work..</w:t>
      </w:r>
      <w:r w:rsidR="00595F67" w:rsidRPr="00DB77E4">
        <w:rPr>
          <w:rFonts w:ascii="Times New Roman" w:hAnsi="Times New Roman" w:cs="Times New Roman"/>
        </w:rPr>
        <w:t xml:space="preserve"> </w:t>
      </w:r>
      <w:r w:rsidRPr="00DB77E4">
        <w:rPr>
          <w:rFonts w:ascii="Times New Roman" w:hAnsi="Times New Roman" w:cs="Times New Roman"/>
        </w:rPr>
        <w:t xml:space="preserve">Social workers are those who must be in control, not least, of themselves. Both Gandhi and Lester would have approved of the elevation of the virtue of self-restraint in social work.  But there are implications for the identity of others in such elevation. Such restrained individuals work with those </w:t>
      </w:r>
      <w:r w:rsidR="00A14446" w:rsidRPr="00DB77E4">
        <w:rPr>
          <w:rFonts w:ascii="Times New Roman" w:hAnsi="Times New Roman" w:cs="Times New Roman"/>
        </w:rPr>
        <w:t>who are</w:t>
      </w:r>
      <w:r w:rsidRPr="00DB77E4">
        <w:rPr>
          <w:rFonts w:ascii="Times New Roman" w:hAnsi="Times New Roman" w:cs="Times New Roman"/>
        </w:rPr>
        <w:t xml:space="preserve">, by implication and by comparison, </w:t>
      </w:r>
      <w:r w:rsidRPr="00DB77E4">
        <w:rPr>
          <w:rFonts w:ascii="Times New Roman" w:hAnsi="Times New Roman" w:cs="Times New Roman"/>
        </w:rPr>
        <w:lastRenderedPageBreak/>
        <w:t>profligate, lacking in restraint or self-control, or who suffer from living lives of excess. The modern day service user and carer movement would obviously object to such a crude characterisation. So it is worth simply pointing out that any emphasis on self-control in the social worker can lead on to problematic conceptions of social work.</w:t>
      </w:r>
    </w:p>
    <w:p w:rsidR="00AC7B93" w:rsidRDefault="00AC7B93" w:rsidP="00166487">
      <w:pPr>
        <w:rPr>
          <w:rFonts w:ascii="Times New Roman" w:hAnsi="Times New Roman" w:cs="Times New Roman"/>
          <w:b/>
        </w:rPr>
      </w:pPr>
    </w:p>
    <w:p w:rsidR="0058655E" w:rsidRPr="00DB77E4" w:rsidRDefault="00F8256F" w:rsidP="00166487">
      <w:pPr>
        <w:rPr>
          <w:rFonts w:ascii="Times New Roman" w:hAnsi="Times New Roman" w:cs="Times New Roman"/>
          <w:b/>
        </w:rPr>
      </w:pPr>
      <w:r w:rsidRPr="00DB77E4">
        <w:rPr>
          <w:rFonts w:ascii="Times New Roman" w:hAnsi="Times New Roman" w:cs="Times New Roman"/>
          <w:b/>
        </w:rPr>
        <w:t>Material Simplicity</w:t>
      </w:r>
    </w:p>
    <w:p w:rsidR="00A341C8" w:rsidRPr="00DB77E4" w:rsidRDefault="00A341C8" w:rsidP="001A5644">
      <w:pPr>
        <w:ind w:left="720"/>
        <w:rPr>
          <w:rFonts w:ascii="Times New Roman" w:hAnsi="Times New Roman" w:cs="Times New Roman"/>
        </w:rPr>
      </w:pPr>
      <w:r w:rsidRPr="00DB77E4">
        <w:rPr>
          <w:rFonts w:ascii="Times New Roman" w:hAnsi="Times New Roman" w:cs="Times New Roman"/>
        </w:rPr>
        <w:t>“I came to believe in the necessity of voluntary poverty for any social worker or for any political workers</w:t>
      </w:r>
      <w:r w:rsidR="001A5644" w:rsidRPr="00DB77E4">
        <w:rPr>
          <w:rFonts w:ascii="Times New Roman" w:hAnsi="Times New Roman" w:cs="Times New Roman"/>
        </w:rPr>
        <w:t xml:space="preserve"> who wanted to remain untouched by the hideous immorality and untruth that one smells today in ordinary politics.”  (Gandhi, Speech at Guildhouse Church, London, 23</w:t>
      </w:r>
      <w:r w:rsidR="001A5644" w:rsidRPr="00DB77E4">
        <w:rPr>
          <w:rFonts w:ascii="Times New Roman" w:hAnsi="Times New Roman" w:cs="Times New Roman"/>
          <w:vertAlign w:val="superscript"/>
        </w:rPr>
        <w:t>rd</w:t>
      </w:r>
      <w:r w:rsidR="001A5644" w:rsidRPr="00DB77E4">
        <w:rPr>
          <w:rFonts w:ascii="Times New Roman" w:hAnsi="Times New Roman" w:cs="Times New Roman"/>
        </w:rPr>
        <w:t xml:space="preserve"> September 1931 in Brown (ed.) 2008, p. 78)</w:t>
      </w:r>
    </w:p>
    <w:p w:rsidR="000E3A27" w:rsidRPr="00DB77E4" w:rsidRDefault="000E3A27" w:rsidP="000E3A27">
      <w:pPr>
        <w:ind w:firstLine="720"/>
        <w:rPr>
          <w:rFonts w:ascii="Times New Roman" w:hAnsi="Times New Roman" w:cs="Times New Roman"/>
        </w:rPr>
      </w:pPr>
      <w:r w:rsidRPr="00DB77E4">
        <w:rPr>
          <w:rFonts w:ascii="Times New Roman" w:hAnsi="Times New Roman" w:cs="Times New Roman"/>
        </w:rPr>
        <w:t>That Gandhi lived in a “cell” when he came to stay with the Lesters</w:t>
      </w:r>
      <w:r w:rsidR="001A5644" w:rsidRPr="00DB77E4">
        <w:rPr>
          <w:rFonts w:ascii="Times New Roman" w:hAnsi="Times New Roman" w:cs="Times New Roman"/>
        </w:rPr>
        <w:t xml:space="preserve"> </w:t>
      </w:r>
      <w:r w:rsidRPr="00DB77E4">
        <w:rPr>
          <w:rFonts w:ascii="Times New Roman" w:hAnsi="Times New Roman" w:cs="Times New Roman"/>
        </w:rPr>
        <w:t xml:space="preserve"> at Kingsley Hall</w:t>
      </w:r>
      <w:r w:rsidR="001A5644" w:rsidRPr="00DB77E4">
        <w:rPr>
          <w:rFonts w:ascii="Times New Roman" w:hAnsi="Times New Roman" w:cs="Times New Roman"/>
        </w:rPr>
        <w:t xml:space="preserve"> was a political statement on his part but it also</w:t>
      </w:r>
      <w:r w:rsidRPr="00DB77E4">
        <w:rPr>
          <w:rFonts w:ascii="Times New Roman" w:hAnsi="Times New Roman" w:cs="Times New Roman"/>
        </w:rPr>
        <w:t xml:space="preserve"> gives some clue to the rigour and dedication of the lives of these people. In 1921 Muriel Lester was one of the founders of the </w:t>
      </w:r>
      <w:r w:rsidRPr="00DB77E4">
        <w:rPr>
          <w:rFonts w:ascii="Times New Roman" w:hAnsi="Times New Roman" w:cs="Times New Roman"/>
          <w:i/>
        </w:rPr>
        <w:t>Brethren of the Common Table</w:t>
      </w:r>
      <w:r w:rsidRPr="00DB77E4">
        <w:rPr>
          <w:rFonts w:ascii="Times New Roman" w:hAnsi="Times New Roman" w:cs="Times New Roman"/>
        </w:rPr>
        <w:t>, a small group committed to following the Bible verses:</w:t>
      </w:r>
    </w:p>
    <w:p w:rsidR="000E3A27" w:rsidRPr="00DB77E4" w:rsidRDefault="000E3A27" w:rsidP="000E3A27">
      <w:pPr>
        <w:ind w:left="720"/>
        <w:rPr>
          <w:rFonts w:ascii="Times New Roman" w:hAnsi="Times New Roman" w:cs="Times New Roman"/>
        </w:rPr>
      </w:pPr>
      <w:r w:rsidRPr="00DB77E4">
        <w:rPr>
          <w:rFonts w:ascii="Times New Roman" w:hAnsi="Times New Roman" w:cs="Times New Roman"/>
        </w:rPr>
        <w:t>“And all who believed were together and had all things in common; and they sold their possessions and goods and distributed them all, as any had need.” (Acts, ch.2 v44-45, Revised Standard Version.)</w:t>
      </w:r>
    </w:p>
    <w:p w:rsidR="000E3A27" w:rsidRPr="00DB77E4" w:rsidRDefault="00F8256F" w:rsidP="000E3A27">
      <w:pPr>
        <w:rPr>
          <w:rFonts w:ascii="Times New Roman" w:hAnsi="Times New Roman" w:cs="Times New Roman"/>
        </w:rPr>
      </w:pPr>
      <w:r w:rsidRPr="00DB77E4">
        <w:rPr>
          <w:rFonts w:ascii="Times New Roman" w:hAnsi="Times New Roman" w:cs="Times New Roman"/>
        </w:rPr>
        <w:t xml:space="preserve">Muriel Lester had a private income of £400 a year which she gave to the common purse and the group would meet once a month to go through their personal expenses. So when Gandhi came to stay at his “cell” at Kingsley Hall, he was living as were the others there already; there would have been little for him to teach them of material simplicity. The connection between this and spirituality in social work is that </w:t>
      </w:r>
      <w:r w:rsidR="001A5644" w:rsidRPr="00DB77E4">
        <w:rPr>
          <w:rFonts w:ascii="Times New Roman" w:hAnsi="Times New Roman" w:cs="Times New Roman"/>
        </w:rPr>
        <w:t xml:space="preserve">surplus possessions can </w:t>
      </w:r>
      <w:r w:rsidRPr="00DB77E4">
        <w:rPr>
          <w:rFonts w:ascii="Times New Roman" w:hAnsi="Times New Roman" w:cs="Times New Roman"/>
        </w:rPr>
        <w:t>be a barrier and work can be better done if there is not an obvious material disparity between the worker than those they are working with. There</w:t>
      </w:r>
      <w:r w:rsidR="00B429F7" w:rsidRPr="00DB77E4">
        <w:rPr>
          <w:rFonts w:ascii="Times New Roman" w:hAnsi="Times New Roman" w:cs="Times New Roman"/>
        </w:rPr>
        <w:t xml:space="preserve"> is</w:t>
      </w:r>
      <w:r w:rsidR="001A5644" w:rsidRPr="00DB77E4">
        <w:rPr>
          <w:rFonts w:ascii="Times New Roman" w:hAnsi="Times New Roman" w:cs="Times New Roman"/>
        </w:rPr>
        <w:t>, it is suggested</w:t>
      </w:r>
      <w:r w:rsidR="00B429F7" w:rsidRPr="00DB77E4">
        <w:rPr>
          <w:rFonts w:ascii="Times New Roman" w:hAnsi="Times New Roman" w:cs="Times New Roman"/>
        </w:rPr>
        <w:t>, a</w:t>
      </w:r>
      <w:r w:rsidRPr="00DB77E4">
        <w:rPr>
          <w:rFonts w:ascii="Times New Roman" w:hAnsi="Times New Roman" w:cs="Times New Roman"/>
        </w:rPr>
        <w:t xml:space="preserve"> more direct connection between people who are without material </w:t>
      </w:r>
      <w:r w:rsidR="00B429F7" w:rsidRPr="00DB77E4">
        <w:rPr>
          <w:rFonts w:ascii="Times New Roman" w:hAnsi="Times New Roman" w:cs="Times New Roman"/>
        </w:rPr>
        <w:t>encumbrances.</w:t>
      </w:r>
      <w:r w:rsidRPr="00DB77E4">
        <w:rPr>
          <w:rFonts w:ascii="Times New Roman" w:hAnsi="Times New Roman" w:cs="Times New Roman"/>
        </w:rPr>
        <w:t xml:space="preserve">  </w:t>
      </w:r>
    </w:p>
    <w:p w:rsidR="000E3A27" w:rsidRPr="00DB77E4" w:rsidRDefault="000E3A27" w:rsidP="000E3A27">
      <w:pPr>
        <w:rPr>
          <w:rFonts w:ascii="Times New Roman" w:hAnsi="Times New Roman" w:cs="Times New Roman"/>
          <w:b/>
          <w:iCs/>
        </w:rPr>
      </w:pPr>
      <w:r w:rsidRPr="00DB77E4">
        <w:rPr>
          <w:rFonts w:ascii="Times New Roman" w:hAnsi="Times New Roman" w:cs="Times New Roman"/>
          <w:b/>
          <w:iCs/>
        </w:rPr>
        <w:t>Swadesh</w:t>
      </w:r>
    </w:p>
    <w:p w:rsidR="000E3A27" w:rsidRPr="00DB77E4" w:rsidRDefault="000E3A27" w:rsidP="000E3A27">
      <w:pPr>
        <w:ind w:firstLine="720"/>
        <w:rPr>
          <w:rFonts w:ascii="Times New Roman" w:hAnsi="Times New Roman" w:cs="Times New Roman"/>
        </w:rPr>
      </w:pPr>
      <w:r w:rsidRPr="00DB77E4">
        <w:rPr>
          <w:rFonts w:ascii="Times New Roman" w:hAnsi="Times New Roman" w:cs="Times New Roman"/>
          <w:i/>
          <w:iCs/>
        </w:rPr>
        <w:t>Swadesh</w:t>
      </w:r>
      <w:r w:rsidRPr="00DB77E4">
        <w:rPr>
          <w:rFonts w:ascii="Times New Roman" w:hAnsi="Times New Roman" w:cs="Times New Roman"/>
        </w:rPr>
        <w:t xml:space="preserve"> is defined by Narayan (2000, p. 202) as self sufficiency, particularly in regard to indigenously made goods. Gandhi used the symbol of the hand-held spinning wheel, or </w:t>
      </w:r>
      <w:r w:rsidRPr="00DB77E4">
        <w:rPr>
          <w:rFonts w:ascii="Times New Roman" w:hAnsi="Times New Roman" w:cs="Times New Roman"/>
          <w:i/>
        </w:rPr>
        <w:t>takli</w:t>
      </w:r>
      <w:r w:rsidRPr="00DB77E4">
        <w:rPr>
          <w:rFonts w:ascii="Times New Roman" w:hAnsi="Times New Roman" w:cs="Times New Roman"/>
        </w:rPr>
        <w:t>, to encapsulate this idea; he wanted the Indian flag to feature this symbol. Indeed, one of his campaigns was against English-made imported clothes - he wanted Indians to make Indian clothes. His own simple robes, made by himself, also symbolised this sta</w:t>
      </w:r>
      <w:r w:rsidR="00F8256F" w:rsidRPr="00DB77E4">
        <w:rPr>
          <w:rFonts w:ascii="Times New Roman" w:hAnsi="Times New Roman" w:cs="Times New Roman"/>
        </w:rPr>
        <w:t xml:space="preserve">nce. Unsurprisingly perhaps, he is sometimes taken to have been anti- industrial and agrarian, even Luddite, in his views. Certainly he wanted work to be done and life to be lived as locally as possible and he saw this as a spiritual as well as a political position.     </w:t>
      </w:r>
    </w:p>
    <w:p w:rsidR="00357355" w:rsidRPr="00DB77E4" w:rsidRDefault="00F8256F" w:rsidP="00BD0D28">
      <w:pPr>
        <w:ind w:firstLine="720"/>
        <w:rPr>
          <w:rFonts w:ascii="Times New Roman" w:hAnsi="Times New Roman" w:cs="Times New Roman"/>
          <w:b/>
          <w:bCs/>
        </w:rPr>
      </w:pPr>
      <w:r w:rsidRPr="00DB77E4">
        <w:rPr>
          <w:rFonts w:ascii="Times New Roman" w:hAnsi="Times New Roman" w:cs="Times New Roman"/>
        </w:rPr>
        <w:t>The same concept of</w:t>
      </w:r>
      <w:r w:rsidRPr="00DB77E4">
        <w:rPr>
          <w:rFonts w:ascii="Times New Roman" w:hAnsi="Times New Roman" w:cs="Times New Roman"/>
          <w:i/>
          <w:iCs/>
        </w:rPr>
        <w:t xml:space="preserve"> Swadesh</w:t>
      </w:r>
      <w:r w:rsidRPr="00DB77E4">
        <w:rPr>
          <w:rFonts w:ascii="Times New Roman" w:hAnsi="Times New Roman" w:cs="Times New Roman"/>
        </w:rPr>
        <w:t xml:space="preserve"> is embodied less perhaps in the work of Muriel, but profoundly in the work of Doris Lester. It is difficult to characterise Muriel Lester’s later career as that of a social worker or even of someone tied in any sense to a particular place. Rather she became a world campaigner for peace. She became International Travelling Secretary for the Fellowship of Reconciliation; she worked in India with and for Gandhi; she worked in </w:t>
      </w:r>
      <w:r w:rsidR="0041474E" w:rsidRPr="00DB77E4">
        <w:rPr>
          <w:rFonts w:ascii="Times New Roman" w:hAnsi="Times New Roman" w:cs="Times New Roman"/>
        </w:rPr>
        <w:t>Japan after</w:t>
      </w:r>
      <w:r w:rsidRPr="00DB77E4">
        <w:rPr>
          <w:rFonts w:ascii="Times New Roman" w:hAnsi="Times New Roman" w:cs="Times New Roman"/>
        </w:rPr>
        <w:t xml:space="preserve"> the Second World War urging reconciliation; and in South Africa to confront the apartheid authorities there (see Oldfield, 2006 p.133-136). But all the while Doris stayed at Kingsley Hall, working with the local community in Bow. The Muriel Lester archive contains numerous annual reports giving details of the in depth the </w:t>
      </w:r>
      <w:r w:rsidRPr="00DB77E4">
        <w:rPr>
          <w:rFonts w:ascii="Times New Roman" w:hAnsi="Times New Roman" w:cs="Times New Roman"/>
        </w:rPr>
        <w:lastRenderedPageBreak/>
        <w:t>work of Kingsley Hall. This was Doris’s work, and throughout her writing Muriel conveys the sense that, for all her own high profile travels and her battles, she knew the real work was</w:t>
      </w:r>
      <w:r w:rsidR="001A5644" w:rsidRPr="00DB77E4">
        <w:rPr>
          <w:rFonts w:ascii="Times New Roman" w:hAnsi="Times New Roman" w:cs="Times New Roman"/>
        </w:rPr>
        <w:t xml:space="preserve"> being done by her sister in Bow</w:t>
      </w:r>
      <w:r w:rsidRPr="00DB77E4">
        <w:rPr>
          <w:rFonts w:ascii="Times New Roman" w:hAnsi="Times New Roman" w:cs="Times New Roman"/>
        </w:rPr>
        <w:t xml:space="preserve">. Echoing this, oral histories of local people contained in the archive speak of the respect that they had for Muriel, but of their love for Doris. So arguably it is in Doris’s commitment to doing her work in one locale and for the benefit of that one community that the idea of </w:t>
      </w:r>
      <w:r w:rsidRPr="00DB77E4">
        <w:rPr>
          <w:rFonts w:ascii="Times New Roman" w:hAnsi="Times New Roman" w:cs="Times New Roman"/>
          <w:i/>
        </w:rPr>
        <w:t xml:space="preserve">Swadesh </w:t>
      </w:r>
      <w:r w:rsidRPr="00DB77E4">
        <w:rPr>
          <w:rFonts w:ascii="Times New Roman" w:hAnsi="Times New Roman" w:cs="Times New Roman"/>
        </w:rPr>
        <w:t xml:space="preserve">is best expressed. A modern day successor to Doris Lester’s social work demonstrated by their ongoing presence in one community would be Bob Holman and his work with </w:t>
      </w:r>
      <w:r w:rsidRPr="00DB77E4">
        <w:rPr>
          <w:rFonts w:ascii="Times New Roman" w:hAnsi="Times New Roman" w:cs="Times New Roman"/>
          <w:i/>
        </w:rPr>
        <w:t>Fare</w:t>
      </w:r>
      <w:r w:rsidRPr="00DB77E4">
        <w:rPr>
          <w:rFonts w:ascii="Times New Roman" w:hAnsi="Times New Roman" w:cs="Times New Roman"/>
        </w:rPr>
        <w:t xml:space="preserve"> in Glasgow (see Cree, 2003). Interestingly, Holman is motivated by a similar kind of iconoclastic Christianity to that of the Lesters and from this position he argues strongly for such community-based activity continuing to be seen as one manifestation of social work.</w:t>
      </w:r>
    </w:p>
    <w:p w:rsidR="000E3A27" w:rsidRPr="00DB77E4" w:rsidRDefault="00F8256F" w:rsidP="000E3A27">
      <w:pPr>
        <w:rPr>
          <w:rFonts w:ascii="Times New Roman" w:hAnsi="Times New Roman" w:cs="Times New Roman"/>
          <w:b/>
          <w:bCs/>
        </w:rPr>
      </w:pPr>
      <w:r w:rsidRPr="00DB77E4">
        <w:rPr>
          <w:rFonts w:ascii="Times New Roman" w:hAnsi="Times New Roman" w:cs="Times New Roman"/>
          <w:b/>
          <w:bCs/>
        </w:rPr>
        <w:t>Materiality and Sacramentality</w:t>
      </w:r>
    </w:p>
    <w:p w:rsidR="000E3A27" w:rsidRPr="00DB77E4" w:rsidRDefault="00F8256F" w:rsidP="000E3A27">
      <w:pPr>
        <w:rPr>
          <w:rFonts w:ascii="Times New Roman" w:hAnsi="Times New Roman" w:cs="Times New Roman"/>
        </w:rPr>
      </w:pPr>
      <w:r w:rsidRPr="00DB77E4">
        <w:rPr>
          <w:rFonts w:ascii="Times New Roman" w:hAnsi="Times New Roman" w:cs="Times New Roman"/>
        </w:rPr>
        <w:tab/>
        <w:t xml:space="preserve">One further concept is also key to examining the significance of Gandhian spirituality for social work; this is Gandhi’s view of the material world. </w:t>
      </w:r>
    </w:p>
    <w:p w:rsidR="000E3A27" w:rsidRPr="00DB77E4" w:rsidRDefault="00F8256F" w:rsidP="000E3A27">
      <w:pPr>
        <w:ind w:firstLine="720"/>
        <w:rPr>
          <w:rFonts w:ascii="Times New Roman" w:hAnsi="Times New Roman" w:cs="Times New Roman"/>
        </w:rPr>
      </w:pPr>
      <w:r w:rsidRPr="00DB77E4">
        <w:rPr>
          <w:rFonts w:ascii="Times New Roman" w:hAnsi="Times New Roman" w:cs="Times New Roman"/>
        </w:rPr>
        <w:t>One strand of contemporary spirituality in social work is so-called ‘</w:t>
      </w:r>
      <w:r w:rsidRPr="00DB77E4">
        <w:rPr>
          <w:rFonts w:ascii="Times New Roman" w:hAnsi="Times New Roman" w:cs="Times New Roman"/>
          <w:i/>
          <w:iCs/>
        </w:rPr>
        <w:t>New Age’</w:t>
      </w:r>
      <w:r w:rsidRPr="00DB77E4">
        <w:rPr>
          <w:rFonts w:ascii="Times New Roman" w:hAnsi="Times New Roman" w:cs="Times New Roman"/>
        </w:rPr>
        <w:t xml:space="preserve"> spirituality. As Houtman and Aupers (2010, p.211) note, this form of spirituality can be traced back to ancient Gnostic ideas. In Gnosticism the material world was evil and the spiritual realm separate and therefore pure. Such thinking would be entirely anathema, both for Gandhi and for Muriel Lester. For them the material is the spiritual. As Chatterjee explains (1983, p.5),  in Indian society there is no clear distinction between the sacred and the profane, expanding:</w:t>
      </w:r>
    </w:p>
    <w:p w:rsidR="000E3A27" w:rsidRPr="00DB77E4" w:rsidRDefault="00F8256F" w:rsidP="000E3A27">
      <w:pPr>
        <w:ind w:left="720"/>
        <w:rPr>
          <w:rFonts w:ascii="Times New Roman" w:hAnsi="Times New Roman" w:cs="Times New Roman"/>
        </w:rPr>
      </w:pPr>
      <w:r w:rsidRPr="00DB77E4">
        <w:rPr>
          <w:rFonts w:ascii="Times New Roman" w:hAnsi="Times New Roman" w:cs="Times New Roman"/>
        </w:rPr>
        <w:t xml:space="preserve">Gandhi’s “spiritual exercises” are a strange medley of practice which include cleaning latrines, giving enemas to sick children, listening to the woes of endless streams of visitors, spending time on voluminous correspondence with all manners of people, quacks, genuine seekers, indignant objectors, friends on the same wavelength as himself, and those whom he describes as ‘the tallest in the land’” (1983, p.13).  </w:t>
      </w:r>
    </w:p>
    <w:p w:rsidR="000E3A27" w:rsidRPr="00DB77E4" w:rsidRDefault="00F8256F" w:rsidP="000E3A27">
      <w:pPr>
        <w:rPr>
          <w:rFonts w:ascii="Times New Roman" w:hAnsi="Times New Roman" w:cs="Times New Roman"/>
        </w:rPr>
      </w:pPr>
      <w:r w:rsidRPr="00DB77E4">
        <w:rPr>
          <w:rFonts w:ascii="Times New Roman" w:hAnsi="Times New Roman" w:cs="Times New Roman"/>
        </w:rPr>
        <w:t xml:space="preserve">The description is powerful because it takes the normally elevated phrase “spiritual exercises” and shows how Gandhi placed them in the ordinary and the everyday. Lester, with her frequent visits to India, may well have imbibed some of this spirit. She was a follower or a disciple of Gandhi in part because she too saw the spiritual in practical activities. This aspect of her approach can perhaps best be seen in a campaign that she ran for the ordination of women to the Christian priesthood. She not only wrote an influential pamphlet on the subject, but also lived out her ideas – becoming, in the eyes of her own community, a priest: </w:t>
      </w:r>
    </w:p>
    <w:p w:rsidR="000E3A27" w:rsidRPr="00DB77E4" w:rsidRDefault="00F8256F" w:rsidP="000E3A27">
      <w:pPr>
        <w:ind w:left="720"/>
        <w:rPr>
          <w:rFonts w:ascii="Times New Roman" w:hAnsi="Times New Roman" w:cs="Times New Roman"/>
        </w:rPr>
      </w:pPr>
      <w:r w:rsidRPr="00DB77E4">
        <w:rPr>
          <w:rFonts w:ascii="Times New Roman" w:hAnsi="Times New Roman" w:cs="Times New Roman"/>
        </w:rPr>
        <w:t xml:space="preserve">“Very soon I found I had to christen my neighbours’ babies, for it was irrefutably true that they and I were wholly at one in our interest and our reverence for child life….I could not withstand the simple logic of their appeal, “Can you christen the baby next Sunday? I could not refuse.” (Deats, 1991, p.62) </w:t>
      </w:r>
    </w:p>
    <w:p w:rsidR="000E3A27" w:rsidRPr="00DB77E4" w:rsidRDefault="00F8256F" w:rsidP="00B83A15">
      <w:pPr>
        <w:rPr>
          <w:rFonts w:ascii="Times New Roman" w:hAnsi="Times New Roman" w:cs="Times New Roman"/>
        </w:rPr>
      </w:pPr>
      <w:r w:rsidRPr="00DB77E4">
        <w:rPr>
          <w:rFonts w:ascii="Times New Roman" w:hAnsi="Times New Roman" w:cs="Times New Roman"/>
        </w:rPr>
        <w:t xml:space="preserve">Lester’s brave stand here, against the male dominance in leadership of the churches of the time, should not be underestimated, and once again in relations to Baptism, a sacrament in church, she met the matter head on. Stanley Hauerwas, a contemporary Christian theologian, refers to the sacraments as the social work of the church (2005, p.384). Lester would have concurred. But in true Gandhian tradition, she would have argued more strongly for the opposite: that social work itself is sacramental, and that the mundanity of social work makes it no less, perhaps even more, a sacred activity. </w:t>
      </w:r>
    </w:p>
    <w:p w:rsidR="000E3A27" w:rsidRPr="00DB77E4" w:rsidRDefault="00F8256F" w:rsidP="000E3A27">
      <w:pPr>
        <w:rPr>
          <w:rFonts w:ascii="Times New Roman" w:hAnsi="Times New Roman" w:cs="Times New Roman"/>
          <w:b/>
        </w:rPr>
      </w:pPr>
      <w:r w:rsidRPr="00DB77E4">
        <w:rPr>
          <w:rFonts w:ascii="Times New Roman" w:hAnsi="Times New Roman" w:cs="Times New Roman"/>
          <w:b/>
          <w:bCs/>
        </w:rPr>
        <w:t>Conclusion</w:t>
      </w:r>
      <w:r w:rsidRPr="00DB77E4">
        <w:rPr>
          <w:rFonts w:ascii="Times New Roman" w:hAnsi="Times New Roman" w:cs="Times New Roman"/>
          <w:b/>
        </w:rPr>
        <w:t xml:space="preserve"> </w:t>
      </w:r>
    </w:p>
    <w:p w:rsidR="000E3A27" w:rsidRPr="00DB77E4" w:rsidRDefault="00F8256F" w:rsidP="000E3A27">
      <w:pPr>
        <w:ind w:firstLine="720"/>
        <w:rPr>
          <w:rFonts w:ascii="Times New Roman" w:hAnsi="Times New Roman" w:cs="Times New Roman"/>
        </w:rPr>
      </w:pPr>
      <w:r w:rsidRPr="00DB77E4">
        <w:rPr>
          <w:rFonts w:ascii="Times New Roman" w:hAnsi="Times New Roman" w:cs="Times New Roman"/>
        </w:rPr>
        <w:lastRenderedPageBreak/>
        <w:t>This article has used biography to illuminate and reinvigorate contemporary discussions on social work. The forgotten but still important value of the past to the present is a key message of this article. It has shown that contemporary discussions of spirituality in social work can be enriched by narratives that bring out how the complicated relationship between faith and practice has been worked out across the generations.</w:t>
      </w:r>
    </w:p>
    <w:p w:rsidR="000E3A27" w:rsidRPr="00DB77E4" w:rsidRDefault="00F8256F" w:rsidP="00357355">
      <w:pPr>
        <w:ind w:firstLine="720"/>
        <w:rPr>
          <w:rFonts w:ascii="Times New Roman" w:hAnsi="Times New Roman" w:cs="Times New Roman"/>
        </w:rPr>
      </w:pPr>
      <w:r w:rsidRPr="00DB77E4">
        <w:rPr>
          <w:rFonts w:ascii="Times New Roman" w:hAnsi="Times New Roman" w:cs="Times New Roman"/>
        </w:rPr>
        <w:t>What were the ways in which the Lesters were Gandhian social workers and how can a contemporary practitioner seek to follow their example? They lived simple lives in the midst of the people they were working with and tried to work on a local level (</w:t>
      </w:r>
      <w:r w:rsidRPr="00DB77E4">
        <w:rPr>
          <w:rFonts w:ascii="Times New Roman" w:hAnsi="Times New Roman" w:cs="Times New Roman"/>
          <w:i/>
        </w:rPr>
        <w:t>Swadesh</w:t>
      </w:r>
      <w:r w:rsidRPr="00DB77E4">
        <w:rPr>
          <w:rFonts w:ascii="Times New Roman" w:hAnsi="Times New Roman" w:cs="Times New Roman"/>
        </w:rPr>
        <w:t xml:space="preserve">). Doris in particular did this. The social worker who chooses not to live in the community in which they work should at least face up to why they have made that choice. The Lesters lived lives of restraint </w:t>
      </w:r>
      <w:r w:rsidRPr="00DB77E4">
        <w:rPr>
          <w:rFonts w:ascii="Times New Roman" w:hAnsi="Times New Roman" w:cs="Times New Roman"/>
          <w:i/>
        </w:rPr>
        <w:t>(</w:t>
      </w:r>
      <w:r w:rsidR="001A5644" w:rsidRPr="00DB77E4">
        <w:rPr>
          <w:rFonts w:ascii="Times New Roman" w:hAnsi="Times New Roman" w:cs="Times New Roman"/>
          <w:iCs/>
        </w:rPr>
        <w:t xml:space="preserve">linked to </w:t>
      </w:r>
      <w:r w:rsidRPr="00DB77E4">
        <w:rPr>
          <w:rFonts w:ascii="Times New Roman" w:hAnsi="Times New Roman" w:cs="Times New Roman"/>
          <w:i/>
        </w:rPr>
        <w:t>Bramacharya)</w:t>
      </w:r>
      <w:r w:rsidRPr="00DB77E4">
        <w:rPr>
          <w:rFonts w:ascii="Times New Roman" w:hAnsi="Times New Roman" w:cs="Times New Roman"/>
        </w:rPr>
        <w:t xml:space="preserve"> </w:t>
      </w:r>
      <w:r w:rsidR="001A5644" w:rsidRPr="00DB77E4">
        <w:rPr>
          <w:rFonts w:ascii="Times New Roman" w:hAnsi="Times New Roman" w:cs="Times New Roman"/>
        </w:rPr>
        <w:t>and t</w:t>
      </w:r>
      <w:r w:rsidRPr="00DB77E4">
        <w:rPr>
          <w:rFonts w:ascii="Times New Roman" w:hAnsi="Times New Roman" w:cs="Times New Roman"/>
        </w:rPr>
        <w:t>he contemporary practitioner will understand the link between their own lifestyle and their work. The Lesters sought to combine activism with political campaigning and social work. They were much less successful than Gandhi in this regard but their aspirations, in terms of holding a moral mirror up to authority (</w:t>
      </w:r>
      <w:r w:rsidRPr="00DB77E4">
        <w:rPr>
          <w:rFonts w:ascii="Times New Roman" w:hAnsi="Times New Roman" w:cs="Times New Roman"/>
          <w:i/>
        </w:rPr>
        <w:t>Satyāgraha</w:t>
      </w:r>
      <w:r w:rsidRPr="00DB77E4">
        <w:rPr>
          <w:rFonts w:ascii="Times New Roman" w:hAnsi="Times New Roman" w:cs="Times New Roman"/>
        </w:rPr>
        <w:t>) were the same. The contemporary social worker who wishes to follow Muriel Lester will have to choose which battles to fight (</w:t>
      </w:r>
      <w:r w:rsidRPr="00DB77E4">
        <w:rPr>
          <w:rFonts w:ascii="Times New Roman" w:hAnsi="Times New Roman" w:cs="Times New Roman"/>
          <w:i/>
        </w:rPr>
        <w:t>Ahimsa)</w:t>
      </w:r>
      <w:r w:rsidRPr="00DB77E4">
        <w:rPr>
          <w:rFonts w:ascii="Times New Roman" w:hAnsi="Times New Roman" w:cs="Times New Roman"/>
        </w:rPr>
        <w:t xml:space="preserve"> but they will also know that for them the fighting will be an expression of their spirituality. </w:t>
      </w:r>
    </w:p>
    <w:p w:rsidR="00335FCC" w:rsidRDefault="00F8256F">
      <w:r w:rsidRPr="00DB77E4">
        <w:rPr>
          <w:rFonts w:ascii="Times New Roman" w:hAnsi="Times New Roman" w:cs="Times New Roman"/>
        </w:rPr>
        <w:t>Notes</w:t>
      </w:r>
      <w:r w:rsidR="000E3A27">
        <w:rPr>
          <w:rFonts w:ascii="Times New Roman" w:hAnsi="Times New Roman" w:cs="Times New Roman"/>
        </w:rPr>
        <w:t xml:space="preserve">   </w:t>
      </w:r>
      <w:r w:rsidR="000E3A27" w:rsidRPr="0044578C">
        <w:rPr>
          <w:rFonts w:ascii="Times New Roman" w:hAnsi="Times New Roman" w:cs="Times New Roman"/>
        </w:rPr>
        <w:t xml:space="preserve">   </w:t>
      </w:r>
    </w:p>
    <w:sectPr w:rsidR="00335FCC" w:rsidSect="0032594B">
      <w:footerReference w:type="default" r:id="rId10"/>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FA" w:rsidRDefault="007B02FA" w:rsidP="000E3A27">
      <w:pPr>
        <w:spacing w:after="0" w:line="240" w:lineRule="auto"/>
      </w:pPr>
      <w:r>
        <w:separator/>
      </w:r>
    </w:p>
  </w:endnote>
  <w:endnote w:type="continuationSeparator" w:id="0">
    <w:p w:rsidR="007B02FA" w:rsidRDefault="007B02FA" w:rsidP="000E3A27">
      <w:pPr>
        <w:spacing w:after="0" w:line="240" w:lineRule="auto"/>
      </w:pPr>
      <w:r>
        <w:continuationSeparator/>
      </w:r>
    </w:p>
  </w:endnote>
  <w:endnote w:id="1">
    <w:p w:rsidR="007B02FA" w:rsidRDefault="007B02FA" w:rsidP="000E3A27">
      <w:pPr>
        <w:pStyle w:val="EndnoteText"/>
        <w:rPr>
          <w:rFonts w:cstheme="minorHAnsi"/>
        </w:rPr>
      </w:pPr>
      <w:r w:rsidRPr="000F3FB7">
        <w:rPr>
          <w:rStyle w:val="EndnoteReference"/>
          <w:rFonts w:cstheme="minorHAnsi"/>
        </w:rPr>
        <w:endnoteRef/>
      </w:r>
      <w:r w:rsidRPr="000F3FB7">
        <w:rPr>
          <w:rFonts w:cstheme="minorHAnsi"/>
        </w:rPr>
        <w:t xml:space="preserve"> Jesus’ pacifist sermon (Matthew chapter 5 -8) in which he urges his followers to “turn the other cheek” and walk the “extra mile”</w:t>
      </w:r>
    </w:p>
    <w:p w:rsidR="007B02FA" w:rsidRPr="000F3FB7" w:rsidRDefault="007B02FA" w:rsidP="000E3A27">
      <w:pPr>
        <w:pStyle w:val="EndnoteText"/>
        <w:rPr>
          <w:rFonts w:cstheme="minorHAnsi"/>
        </w:rPr>
      </w:pPr>
    </w:p>
  </w:endnote>
  <w:endnote w:id="2">
    <w:p w:rsidR="007B02FA" w:rsidRDefault="007B02FA" w:rsidP="000E3A27">
      <w:pPr>
        <w:pStyle w:val="EndnoteText"/>
        <w:rPr>
          <w:rFonts w:cstheme="minorHAnsi"/>
        </w:rPr>
      </w:pPr>
      <w:r w:rsidRPr="000F3FB7">
        <w:rPr>
          <w:rStyle w:val="EndnoteReference"/>
          <w:rFonts w:cstheme="minorHAnsi"/>
        </w:rPr>
        <w:endnoteRef/>
      </w:r>
      <w:r>
        <w:rPr>
          <w:rFonts w:cstheme="minorHAnsi"/>
        </w:rPr>
        <w:t xml:space="preserve"> Gandhi also </w:t>
      </w:r>
      <w:r w:rsidRPr="000F3FB7">
        <w:rPr>
          <w:rFonts w:cstheme="minorHAnsi"/>
        </w:rPr>
        <w:t>knew that the symbolic power of simple commodities could be used to encapsulate inequality. He based his campaign in the 1930s against the power of the Raj on “salt”. In this he was, of course,  far more ambitious  than Lester.</w:t>
      </w:r>
    </w:p>
    <w:p w:rsidR="007B02FA" w:rsidRDefault="007B02FA" w:rsidP="000E3A27">
      <w:pPr>
        <w:pStyle w:val="EndnoteText"/>
        <w:rPr>
          <w:rFonts w:cstheme="minorHAnsi"/>
        </w:rPr>
      </w:pPr>
    </w:p>
    <w:p w:rsidR="007B02FA" w:rsidRDefault="007B02FA" w:rsidP="000E3A27">
      <w:pPr>
        <w:pStyle w:val="EndnoteText"/>
        <w:rPr>
          <w:rFonts w:cstheme="minorHAnsi"/>
        </w:rPr>
      </w:pPr>
    </w:p>
    <w:p w:rsidR="007B02FA" w:rsidRDefault="007B02FA" w:rsidP="000E3A27">
      <w:pPr>
        <w:pStyle w:val="EndnoteText"/>
        <w:rPr>
          <w:rFonts w:cstheme="minorHAnsi"/>
        </w:rPr>
      </w:pPr>
    </w:p>
    <w:p w:rsidR="007B02FA" w:rsidRPr="00323629" w:rsidRDefault="007B02FA" w:rsidP="006200AF">
      <w:pPr>
        <w:rPr>
          <w:rFonts w:ascii="Times New Roman" w:hAnsi="Times New Roman" w:cs="Times New Roman"/>
          <w:b/>
        </w:rPr>
      </w:pPr>
      <w:r w:rsidRPr="00323629">
        <w:rPr>
          <w:rFonts w:ascii="Times New Roman" w:hAnsi="Times New Roman" w:cs="Times New Roman"/>
          <w:b/>
        </w:rPr>
        <w:t>References</w:t>
      </w:r>
    </w:p>
    <w:p w:rsidR="007B02FA" w:rsidRDefault="007B02FA" w:rsidP="006200AF">
      <w:pPr>
        <w:pStyle w:val="list1"/>
        <w:ind w:left="0"/>
      </w:pPr>
      <w:r w:rsidRPr="007B5B27">
        <w:t>Bowpitt, G. (1998) “</w:t>
      </w:r>
      <w:hyperlink r:id="rId1" w:history="1">
        <w:r>
          <w:rPr>
            <w:rStyle w:val="Hyperlink"/>
            <w:color w:val="auto"/>
            <w:u w:val="none"/>
          </w:rPr>
          <w:t>Evangelical Christianity, Secular Humanism, and the Genesis of British Social W</w:t>
        </w:r>
        <w:r w:rsidRPr="007B5B27">
          <w:rPr>
            <w:rStyle w:val="Hyperlink"/>
            <w:color w:val="auto"/>
            <w:u w:val="none"/>
          </w:rPr>
          <w:t>ork”.</w:t>
        </w:r>
      </w:hyperlink>
      <w:r w:rsidRPr="007B5B27">
        <w:t xml:space="preserve"> </w:t>
      </w:r>
      <w:r w:rsidRPr="007B5B27">
        <w:rPr>
          <w:i/>
        </w:rPr>
        <w:t xml:space="preserve">British Journal of Social Work. </w:t>
      </w:r>
      <w:r w:rsidRPr="007B5B27">
        <w:t>Vol</w:t>
      </w:r>
      <w:r>
        <w:t>.</w:t>
      </w:r>
      <w:r w:rsidRPr="007B5B27">
        <w:t xml:space="preserve"> 28(5), pp.675-693.</w:t>
      </w:r>
    </w:p>
    <w:p w:rsidR="007B02FA" w:rsidRDefault="007B02FA" w:rsidP="006200AF">
      <w:pPr>
        <w:pStyle w:val="list1"/>
        <w:ind w:left="0"/>
      </w:pPr>
    </w:p>
    <w:p w:rsidR="007B02FA" w:rsidRDefault="007B02FA" w:rsidP="006200AF">
      <w:pPr>
        <w:rPr>
          <w:rFonts w:ascii="Times New Roman" w:hAnsi="Times New Roman" w:cs="Times New Roman"/>
        </w:rPr>
      </w:pPr>
      <w:r>
        <w:rPr>
          <w:rFonts w:ascii="Times New Roman" w:hAnsi="Times New Roman" w:cs="Times New Roman"/>
        </w:rPr>
        <w:t xml:space="preserve">Brown, J. (ed.) (2008) </w:t>
      </w:r>
      <w:r w:rsidRPr="00BC15CC">
        <w:rPr>
          <w:rFonts w:ascii="Times New Roman" w:hAnsi="Times New Roman" w:cs="Times New Roman"/>
          <w:i/>
        </w:rPr>
        <w:t>Mahatma Gandhi: The Essential Writings</w:t>
      </w:r>
      <w:r>
        <w:rPr>
          <w:rFonts w:ascii="Times New Roman" w:hAnsi="Times New Roman" w:cs="Times New Roman"/>
        </w:rPr>
        <w:t>. Oxford, Oxford University Press.</w:t>
      </w:r>
    </w:p>
    <w:p w:rsidR="007B02FA" w:rsidRDefault="007B02FA" w:rsidP="006200AF">
      <w:pPr>
        <w:rPr>
          <w:rFonts w:ascii="Times New Roman" w:hAnsi="Times New Roman" w:cs="Times New Roman"/>
        </w:rPr>
      </w:pPr>
      <w:r>
        <w:rPr>
          <w:rFonts w:ascii="Times New Roman" w:hAnsi="Times New Roman" w:cs="Times New Roman"/>
        </w:rPr>
        <w:t xml:space="preserve">Canda, E.R. (2005) “The Future of Spirituality in Social Work: The Farther Reaches of Human Nature”. </w:t>
      </w:r>
      <w:r w:rsidRPr="00340B3C">
        <w:rPr>
          <w:rFonts w:ascii="Times New Roman" w:hAnsi="Times New Roman" w:cs="Times New Roman"/>
          <w:i/>
        </w:rPr>
        <w:t>Advances in Social Work</w:t>
      </w:r>
      <w:r>
        <w:rPr>
          <w:rFonts w:ascii="Times New Roman" w:hAnsi="Times New Roman" w:cs="Times New Roman"/>
        </w:rPr>
        <w:t xml:space="preserve"> Vol. 6(1), pp.97-108</w:t>
      </w:r>
    </w:p>
    <w:p w:rsidR="007B02FA" w:rsidRDefault="007B02FA" w:rsidP="006200AF">
      <w:pPr>
        <w:rPr>
          <w:rFonts w:ascii="Times New Roman" w:hAnsi="Times New Roman" w:cs="Times New Roman"/>
        </w:rPr>
      </w:pPr>
      <w:r>
        <w:rPr>
          <w:rFonts w:ascii="Times New Roman" w:hAnsi="Times New Roman" w:cs="Times New Roman"/>
        </w:rPr>
        <w:t>Chatterjee, M (1983</w:t>
      </w:r>
      <w:r w:rsidRPr="00BC15CC">
        <w:rPr>
          <w:rFonts w:ascii="Times New Roman" w:hAnsi="Times New Roman" w:cs="Times New Roman"/>
          <w:i/>
        </w:rPr>
        <w:t>) Gandhi’s Religious Thought</w:t>
      </w:r>
      <w:r>
        <w:rPr>
          <w:rFonts w:ascii="Times New Roman" w:hAnsi="Times New Roman" w:cs="Times New Roman"/>
        </w:rPr>
        <w:t>. Notre Dame, University of Notre Dame Press.</w:t>
      </w:r>
    </w:p>
    <w:p w:rsidR="007B02FA" w:rsidRDefault="007B02FA" w:rsidP="006200AF">
      <w:pPr>
        <w:rPr>
          <w:rFonts w:ascii="Times New Roman" w:hAnsi="Times New Roman" w:cs="Times New Roman"/>
        </w:rPr>
      </w:pPr>
      <w:r>
        <w:rPr>
          <w:rFonts w:ascii="Times New Roman" w:hAnsi="Times New Roman" w:cs="Times New Roman"/>
        </w:rPr>
        <w:t>Cree, V. (2003) Becoming a Social Worker. Routledge. London</w:t>
      </w:r>
    </w:p>
    <w:p w:rsidR="007B02FA" w:rsidRDefault="007B02FA" w:rsidP="006200AF">
      <w:pPr>
        <w:rPr>
          <w:rFonts w:ascii="Times New Roman" w:hAnsi="Times New Roman" w:cs="Times New Roman"/>
        </w:rPr>
      </w:pPr>
      <w:r>
        <w:rPr>
          <w:rFonts w:ascii="Times New Roman" w:hAnsi="Times New Roman" w:cs="Times New Roman"/>
        </w:rPr>
        <w:t xml:space="preserve">Deats, R. (ed.) (1991) </w:t>
      </w:r>
      <w:r w:rsidRPr="00167216">
        <w:rPr>
          <w:rFonts w:ascii="Times New Roman" w:hAnsi="Times New Roman" w:cs="Times New Roman"/>
          <w:i/>
        </w:rPr>
        <w:t>Ambassador for Reconciliation: A Muriel Lester Reader</w:t>
      </w:r>
      <w:r>
        <w:rPr>
          <w:rFonts w:ascii="Times New Roman" w:hAnsi="Times New Roman" w:cs="Times New Roman"/>
        </w:rPr>
        <w:t>. Santa Cruz.  New Society Press.</w:t>
      </w:r>
    </w:p>
    <w:p w:rsidR="007B02FA" w:rsidRDefault="007B02FA" w:rsidP="006200AF">
      <w:pPr>
        <w:rPr>
          <w:rFonts w:ascii="Times New Roman" w:hAnsi="Times New Roman" w:cs="Times New Roman"/>
        </w:rPr>
      </w:pPr>
      <w:r>
        <w:rPr>
          <w:rFonts w:ascii="Times New Roman" w:hAnsi="Times New Roman" w:cs="Times New Roman"/>
        </w:rPr>
        <w:t>Furness, S. And Gilligan, P. (2010) Religion, Belief and Social Work: Making a Difference. Bristol: Policy Press</w:t>
      </w:r>
    </w:p>
    <w:p w:rsidR="007B02FA" w:rsidRDefault="007B02FA" w:rsidP="002970E1">
      <w:pPr>
        <w:rPr>
          <w:rFonts w:ascii="Times New Roman" w:hAnsi="Times New Roman" w:cs="Times New Roman"/>
        </w:rPr>
      </w:pPr>
      <w:r>
        <w:rPr>
          <w:rFonts w:ascii="Times New Roman" w:hAnsi="Times New Roman" w:cs="Times New Roman"/>
        </w:rPr>
        <w:t xml:space="preserve">Gangrade, K.D. (2008) </w:t>
      </w:r>
      <w:r w:rsidRPr="00323629">
        <w:rPr>
          <w:rFonts w:ascii="Times New Roman" w:hAnsi="Times New Roman" w:cs="Times New Roman"/>
          <w:i/>
        </w:rPr>
        <w:t>Gandhian Perspective on Global Interdependance, Peace and the Role of Professional Social Work</w:t>
      </w:r>
      <w:r>
        <w:rPr>
          <w:rFonts w:ascii="Times New Roman" w:hAnsi="Times New Roman" w:cs="Times New Roman"/>
        </w:rPr>
        <w:t>. Delhi, Authors Press</w:t>
      </w:r>
      <w:r w:rsidRPr="00F91665">
        <w:rPr>
          <w:rFonts w:ascii="Times New Roman" w:hAnsi="Times New Roman" w:cs="Times New Roman"/>
        </w:rPr>
        <w:t xml:space="preserve">                                                                                 </w:t>
      </w:r>
      <w:r>
        <w:rPr>
          <w:rFonts w:ascii="Times New Roman" w:hAnsi="Times New Roman" w:cs="Times New Roman"/>
        </w:rPr>
        <w:t xml:space="preserve">                                                                                                </w:t>
      </w:r>
    </w:p>
    <w:p w:rsidR="007B02FA" w:rsidRDefault="007B02FA" w:rsidP="006200AF">
      <w:pPr>
        <w:rPr>
          <w:rFonts w:ascii="Times New Roman" w:hAnsi="Times New Roman" w:cs="Times New Roman"/>
        </w:rPr>
      </w:pPr>
      <w:r>
        <w:rPr>
          <w:rFonts w:ascii="Times New Roman" w:hAnsi="Times New Roman" w:cs="Times New Roman"/>
        </w:rPr>
        <w:t xml:space="preserve">Hartley, L.P. (1953) </w:t>
      </w:r>
      <w:r w:rsidRPr="00DD2F1A">
        <w:rPr>
          <w:rFonts w:ascii="Times New Roman" w:hAnsi="Times New Roman" w:cs="Times New Roman"/>
          <w:i/>
          <w:iCs/>
        </w:rPr>
        <w:t>The Go Between</w:t>
      </w:r>
      <w:r>
        <w:rPr>
          <w:rFonts w:ascii="Times New Roman" w:hAnsi="Times New Roman" w:cs="Times New Roman"/>
        </w:rPr>
        <w:t>. London. Hamish Hamilton.</w:t>
      </w:r>
    </w:p>
    <w:p w:rsidR="007B02FA" w:rsidRDefault="007B02FA" w:rsidP="006200AF">
      <w:pPr>
        <w:rPr>
          <w:rFonts w:ascii="Times New Roman" w:hAnsi="Times New Roman" w:cs="Times New Roman"/>
        </w:rPr>
      </w:pPr>
      <w:r>
        <w:rPr>
          <w:rFonts w:ascii="Times New Roman" w:hAnsi="Times New Roman" w:cs="Times New Roman"/>
        </w:rPr>
        <w:t xml:space="preserve">Henery, N. (2003) “Critical Commentary: The Reality of Visions – contemporary theories of spirituality in social work” </w:t>
      </w:r>
      <w:r w:rsidRPr="00C070F4">
        <w:rPr>
          <w:rFonts w:ascii="Times New Roman" w:hAnsi="Times New Roman" w:cs="Times New Roman"/>
          <w:i/>
          <w:iCs/>
        </w:rPr>
        <w:t>British Journal of Social Work</w:t>
      </w:r>
      <w:r>
        <w:rPr>
          <w:rFonts w:ascii="Times New Roman" w:hAnsi="Times New Roman" w:cs="Times New Roman"/>
        </w:rPr>
        <w:t>. Vol. 33, pp.1105-1113</w:t>
      </w:r>
    </w:p>
    <w:p w:rsidR="007B02FA" w:rsidRDefault="007B02FA" w:rsidP="006200AF">
      <w:pPr>
        <w:rPr>
          <w:rFonts w:ascii="Times New Roman" w:hAnsi="Times New Roman" w:cs="Times New Roman"/>
        </w:rPr>
      </w:pPr>
      <w:r>
        <w:rPr>
          <w:rFonts w:ascii="Times New Roman" w:hAnsi="Times New Roman" w:cs="Times New Roman"/>
        </w:rPr>
        <w:t xml:space="preserve">Holloway, M. And Moss, B. (2010) </w:t>
      </w:r>
      <w:r w:rsidRPr="00F91665">
        <w:rPr>
          <w:rFonts w:ascii="Times New Roman" w:hAnsi="Times New Roman" w:cs="Times New Roman"/>
          <w:i/>
          <w:iCs/>
        </w:rPr>
        <w:t>Spirituality and Social Work</w:t>
      </w:r>
      <w:r>
        <w:rPr>
          <w:rFonts w:ascii="Times New Roman" w:hAnsi="Times New Roman" w:cs="Times New Roman"/>
        </w:rPr>
        <w:t>. Basingstoke. Palgrave</w:t>
      </w:r>
    </w:p>
    <w:p w:rsidR="007B02FA" w:rsidRPr="00F91665" w:rsidRDefault="007B02FA" w:rsidP="006200AF">
      <w:pPr>
        <w:rPr>
          <w:rFonts w:ascii="Times New Roman" w:hAnsi="Times New Roman" w:cs="Times New Roman"/>
        </w:rPr>
      </w:pPr>
      <w:r w:rsidRPr="00F91665">
        <w:rPr>
          <w:rFonts w:ascii="Times New Roman" w:hAnsi="Times New Roman" w:cs="Times New Roman"/>
        </w:rPr>
        <w:t xml:space="preserve">Houtman, D. </w:t>
      </w:r>
      <w:r>
        <w:rPr>
          <w:rFonts w:ascii="Times New Roman" w:hAnsi="Times New Roman" w:cs="Times New Roman"/>
        </w:rPr>
        <w:t>an</w:t>
      </w:r>
      <w:r w:rsidRPr="00F91665">
        <w:rPr>
          <w:rFonts w:ascii="Times New Roman" w:hAnsi="Times New Roman" w:cs="Times New Roman"/>
        </w:rPr>
        <w:t xml:space="preserve">d Aupers, S. (2010) ”New Age Ethics” </w:t>
      </w:r>
      <w:r>
        <w:rPr>
          <w:rFonts w:ascii="Times New Roman" w:hAnsi="Times New Roman" w:cs="Times New Roman"/>
        </w:rPr>
        <w:t xml:space="preserve">in Gray, M. And Webb, S.A. (eds)  </w:t>
      </w:r>
      <w:r w:rsidRPr="00F91665">
        <w:rPr>
          <w:rFonts w:ascii="Times New Roman" w:hAnsi="Times New Roman" w:cs="Times New Roman"/>
          <w:i/>
          <w:iCs/>
        </w:rPr>
        <w:t>Ethics and value Perspectives in Social Work</w:t>
      </w:r>
      <w:r>
        <w:rPr>
          <w:rFonts w:ascii="Times New Roman" w:hAnsi="Times New Roman" w:cs="Times New Roman"/>
        </w:rPr>
        <w:t>. Basingstoke. Macmillan.</w:t>
      </w:r>
    </w:p>
    <w:p w:rsidR="007B02FA" w:rsidRDefault="007B02FA" w:rsidP="005D2310">
      <w:pPr>
        <w:rPr>
          <w:rFonts w:ascii="Times New Roman" w:hAnsi="Times New Roman" w:cs="Times New Roman"/>
        </w:rPr>
      </w:pPr>
      <w:r>
        <w:rPr>
          <w:rFonts w:ascii="Times New Roman" w:hAnsi="Times New Roman" w:cs="Times New Roman"/>
        </w:rPr>
        <w:t xml:space="preserve">Joshi, S.C. (2009) </w:t>
      </w:r>
      <w:r w:rsidRPr="00323629">
        <w:rPr>
          <w:rFonts w:ascii="Times New Roman" w:hAnsi="Times New Roman" w:cs="Times New Roman"/>
          <w:i/>
        </w:rPr>
        <w:t>Gandhian Social Work</w:t>
      </w:r>
      <w:r>
        <w:rPr>
          <w:rFonts w:ascii="Times New Roman" w:hAnsi="Times New Roman" w:cs="Times New Roman"/>
        </w:rPr>
        <w:t>. New Delhi, Akansha Publishing House</w:t>
      </w:r>
    </w:p>
    <w:p w:rsidR="007B02FA" w:rsidRDefault="007B02FA" w:rsidP="006200AF">
      <w:pPr>
        <w:rPr>
          <w:rFonts w:ascii="Times New Roman" w:hAnsi="Times New Roman" w:cs="Times New Roman"/>
        </w:rPr>
      </w:pPr>
      <w:r>
        <w:rPr>
          <w:rFonts w:ascii="Times New Roman" w:hAnsi="Times New Roman" w:cs="Times New Roman"/>
        </w:rPr>
        <w:t>Moss, B. (2005) Religion and Spirituality. Lyme Regis: Russell House</w:t>
      </w:r>
    </w:p>
    <w:p w:rsidR="007B02FA" w:rsidRDefault="007B02FA" w:rsidP="006200AF">
      <w:pPr>
        <w:rPr>
          <w:rFonts w:ascii="Times New Roman" w:hAnsi="Times New Roman" w:cs="Times New Roman"/>
        </w:rPr>
      </w:pPr>
      <w:r>
        <w:rPr>
          <w:rFonts w:ascii="Times New Roman" w:hAnsi="Times New Roman" w:cs="Times New Roman"/>
        </w:rPr>
        <w:t xml:space="preserve">Narayan, L (2000) “Freire and Gandhi: Their relevance for social work education” . </w:t>
      </w:r>
      <w:r w:rsidRPr="008B7FCF">
        <w:rPr>
          <w:rFonts w:ascii="Times New Roman" w:hAnsi="Times New Roman" w:cs="Times New Roman"/>
          <w:i/>
        </w:rPr>
        <w:t xml:space="preserve">International Social Work </w:t>
      </w:r>
      <w:r>
        <w:rPr>
          <w:rFonts w:ascii="Times New Roman" w:hAnsi="Times New Roman" w:cs="Times New Roman"/>
        </w:rPr>
        <w:t>Vol. 43 (2) pp.193-204</w:t>
      </w:r>
    </w:p>
    <w:p w:rsidR="007B02FA" w:rsidRPr="00167216" w:rsidRDefault="007B02FA" w:rsidP="006200AF">
      <w:pPr>
        <w:rPr>
          <w:rFonts w:ascii="Times New Roman" w:hAnsi="Times New Roman" w:cs="Times New Roman"/>
        </w:rPr>
      </w:pPr>
      <w:r>
        <w:rPr>
          <w:rFonts w:ascii="Times New Roman" w:hAnsi="Times New Roman" w:cs="Times New Roman"/>
        </w:rPr>
        <w:t xml:space="preserve">Oldfield, S. (2005) </w:t>
      </w:r>
      <w:r w:rsidRPr="00167216">
        <w:rPr>
          <w:rFonts w:ascii="Times New Roman" w:hAnsi="Times New Roman" w:cs="Times New Roman"/>
          <w:i/>
        </w:rPr>
        <w:t>Do</w:t>
      </w:r>
      <w:r>
        <w:rPr>
          <w:rFonts w:ascii="Times New Roman" w:hAnsi="Times New Roman" w:cs="Times New Roman"/>
          <w:i/>
        </w:rPr>
        <w:t>ers of the Word: a Bibliographical D</w:t>
      </w:r>
      <w:r w:rsidRPr="00167216">
        <w:rPr>
          <w:rFonts w:ascii="Times New Roman" w:hAnsi="Times New Roman" w:cs="Times New Roman"/>
          <w:i/>
        </w:rPr>
        <w:t xml:space="preserve">ictionary </w:t>
      </w:r>
      <w:r>
        <w:rPr>
          <w:rFonts w:ascii="Times New Roman" w:hAnsi="Times New Roman" w:cs="Times New Roman"/>
          <w:i/>
        </w:rPr>
        <w:t>of British Women Humanitarians Active B</w:t>
      </w:r>
      <w:r w:rsidRPr="00167216">
        <w:rPr>
          <w:rFonts w:ascii="Times New Roman" w:hAnsi="Times New Roman" w:cs="Times New Roman"/>
          <w:i/>
        </w:rPr>
        <w:t xml:space="preserve">etween 1900 and 1950. </w:t>
      </w:r>
      <w:r>
        <w:rPr>
          <w:rFonts w:ascii="Times New Roman" w:hAnsi="Times New Roman" w:cs="Times New Roman"/>
        </w:rPr>
        <w:t>London. Continuum</w:t>
      </w:r>
    </w:p>
    <w:p w:rsidR="007B02FA" w:rsidRDefault="007B02FA" w:rsidP="005D2310">
      <w:pPr>
        <w:rPr>
          <w:rFonts w:ascii="Times New Roman" w:hAnsi="Times New Roman" w:cs="Times New Roman"/>
        </w:rPr>
      </w:pPr>
      <w:r>
        <w:rPr>
          <w:rFonts w:ascii="Times New Roman" w:hAnsi="Times New Roman" w:cs="Times New Roman"/>
        </w:rPr>
        <w:t xml:space="preserve">Parekh B. (1997) </w:t>
      </w:r>
      <w:r w:rsidRPr="00BC15CC">
        <w:rPr>
          <w:rFonts w:ascii="Times New Roman" w:hAnsi="Times New Roman" w:cs="Times New Roman"/>
          <w:i/>
        </w:rPr>
        <w:t>Gandhi: A Very Short Introduction</w:t>
      </w:r>
      <w:r>
        <w:rPr>
          <w:rFonts w:ascii="Times New Roman" w:hAnsi="Times New Roman" w:cs="Times New Roman"/>
        </w:rPr>
        <w:t>. Oxford, Oxford University Press.</w:t>
      </w:r>
    </w:p>
    <w:p w:rsidR="007B02FA" w:rsidRPr="005D2310" w:rsidRDefault="007B02FA" w:rsidP="005D2310">
      <w:pPr>
        <w:autoSpaceDE w:val="0"/>
        <w:autoSpaceDN w:val="0"/>
        <w:adjustRightInd w:val="0"/>
        <w:spacing w:after="0" w:line="240" w:lineRule="auto"/>
        <w:rPr>
          <w:rFonts w:asciiTheme="majorBidi" w:eastAsiaTheme="minorHAnsi" w:hAnsiTheme="majorBidi" w:cstheme="majorBidi"/>
          <w:sz w:val="24"/>
          <w:szCs w:val="24"/>
          <w:lang w:eastAsia="en-US" w:bidi="ar-SA"/>
        </w:rPr>
      </w:pPr>
      <w:r w:rsidRPr="005D2310">
        <w:rPr>
          <w:rFonts w:asciiTheme="majorBidi" w:hAnsiTheme="majorBidi" w:cstheme="majorBidi"/>
          <w:sz w:val="24"/>
          <w:szCs w:val="24"/>
        </w:rPr>
        <w:t xml:space="preserve">Parton, N. (2008) </w:t>
      </w:r>
      <w:r w:rsidRPr="005D2310">
        <w:rPr>
          <w:rFonts w:asciiTheme="majorBidi" w:eastAsiaTheme="minorHAnsi" w:hAnsiTheme="majorBidi" w:cstheme="majorBidi"/>
          <w:sz w:val="24"/>
          <w:szCs w:val="24"/>
          <w:lang w:eastAsia="en-US" w:bidi="ar-SA"/>
        </w:rPr>
        <w:t xml:space="preserve">From Seebohm to </w:t>
      </w:r>
      <w:r w:rsidRPr="005D2310">
        <w:rPr>
          <w:rFonts w:asciiTheme="majorBidi" w:eastAsiaTheme="minorHAnsi" w:hAnsiTheme="majorBidi" w:cstheme="majorBidi"/>
          <w:i/>
          <w:iCs/>
          <w:sz w:val="24"/>
          <w:szCs w:val="24"/>
          <w:lang w:eastAsia="en-US" w:bidi="ar-SA"/>
        </w:rPr>
        <w:t>Think Family</w:t>
      </w:r>
      <w:r w:rsidRPr="005D2310">
        <w:rPr>
          <w:rFonts w:asciiTheme="majorBidi" w:eastAsiaTheme="minorHAnsi" w:hAnsiTheme="majorBidi" w:cstheme="majorBidi"/>
          <w:sz w:val="24"/>
          <w:szCs w:val="24"/>
          <w:lang w:eastAsia="en-US" w:bidi="ar-SA"/>
        </w:rPr>
        <w:t>: reflections on 40 years of</w:t>
      </w:r>
    </w:p>
    <w:p w:rsidR="007B02FA" w:rsidRPr="005D2310" w:rsidRDefault="007B02FA" w:rsidP="005D2310">
      <w:pPr>
        <w:rPr>
          <w:rFonts w:asciiTheme="majorBidi" w:hAnsiTheme="majorBidi" w:cstheme="majorBidi"/>
          <w:sz w:val="24"/>
          <w:szCs w:val="24"/>
        </w:rPr>
      </w:pPr>
      <w:r w:rsidRPr="005D2310">
        <w:rPr>
          <w:rFonts w:asciiTheme="majorBidi" w:eastAsiaTheme="minorHAnsi" w:hAnsiTheme="majorBidi" w:cstheme="majorBidi"/>
          <w:sz w:val="24"/>
          <w:szCs w:val="24"/>
          <w:lang w:eastAsia="en-US" w:bidi="ar-SA"/>
        </w:rPr>
        <w:t>policy change of statutory children’s social work in England</w:t>
      </w:r>
      <w:r>
        <w:rPr>
          <w:rFonts w:asciiTheme="majorBidi" w:eastAsiaTheme="minorHAnsi" w:hAnsiTheme="majorBidi" w:cstheme="majorBidi"/>
          <w:sz w:val="24"/>
          <w:szCs w:val="24"/>
          <w:lang w:eastAsia="en-US" w:bidi="ar-SA"/>
        </w:rPr>
        <w:t xml:space="preserve">. </w:t>
      </w:r>
      <w:r w:rsidRPr="005D2310">
        <w:rPr>
          <w:rFonts w:asciiTheme="majorBidi" w:eastAsiaTheme="minorHAnsi" w:hAnsiTheme="majorBidi" w:cstheme="majorBidi"/>
          <w:i/>
          <w:iCs/>
          <w:sz w:val="24"/>
          <w:szCs w:val="24"/>
          <w:lang w:eastAsia="en-US" w:bidi="ar-SA"/>
        </w:rPr>
        <w:t>Child and Family Social Work</w:t>
      </w:r>
      <w:r w:rsidRPr="005D2310">
        <w:rPr>
          <w:rFonts w:asciiTheme="majorBidi" w:eastAsiaTheme="minorHAnsi" w:hAnsiTheme="majorBidi" w:cstheme="majorBidi"/>
          <w:sz w:val="24"/>
          <w:szCs w:val="24"/>
          <w:lang w:eastAsia="en-US" w:bidi="ar-SA"/>
        </w:rPr>
        <w:t xml:space="preserve"> 2009, 14, pp 68–78</w:t>
      </w:r>
    </w:p>
    <w:p w:rsidR="007B02FA" w:rsidRDefault="007B02FA" w:rsidP="006200AF">
      <w:pPr>
        <w:rPr>
          <w:rFonts w:ascii="Times New Roman" w:hAnsi="Times New Roman" w:cs="Times New Roman"/>
        </w:rPr>
      </w:pPr>
      <w:r>
        <w:rPr>
          <w:rFonts w:ascii="Times New Roman" w:hAnsi="Times New Roman" w:cs="Times New Roman"/>
        </w:rPr>
        <w:t xml:space="preserve">Payne, M. (2005) </w:t>
      </w:r>
      <w:r w:rsidRPr="00167216">
        <w:rPr>
          <w:rFonts w:ascii="Times New Roman" w:hAnsi="Times New Roman" w:cs="Times New Roman"/>
          <w:i/>
        </w:rPr>
        <w:t>The Origins of Social Work: Continuity and Change</w:t>
      </w:r>
      <w:r>
        <w:rPr>
          <w:rFonts w:ascii="Times New Roman" w:hAnsi="Times New Roman" w:cs="Times New Roman"/>
        </w:rPr>
        <w:t xml:space="preserve">. Basingstoke. Palgrave Macmillan </w:t>
      </w:r>
    </w:p>
    <w:p w:rsidR="007B02FA" w:rsidRDefault="007B02FA" w:rsidP="005D1C87">
      <w:pPr>
        <w:rPr>
          <w:rFonts w:ascii="Times New Roman" w:hAnsi="Times New Roman" w:cs="Times New Roman"/>
        </w:rPr>
      </w:pPr>
      <w:r>
        <w:rPr>
          <w:rFonts w:ascii="Times New Roman" w:hAnsi="Times New Roman" w:cs="Times New Roman"/>
        </w:rPr>
        <w:t>Pierson, J (2011) Understanding Social Work: History and Context. Maidenhead. OUP</w:t>
      </w:r>
    </w:p>
    <w:p w:rsidR="007B02FA" w:rsidRDefault="007B02FA" w:rsidP="006200AF">
      <w:pPr>
        <w:rPr>
          <w:rFonts w:ascii="Times New Roman" w:hAnsi="Times New Roman" w:cs="Times New Roman"/>
        </w:rPr>
      </w:pPr>
      <w:r>
        <w:rPr>
          <w:rFonts w:ascii="Times New Roman" w:hAnsi="Times New Roman" w:cs="Times New Roman"/>
        </w:rPr>
        <w:t xml:space="preserve">Singh, S., Gumez, E.J. and Crawley, B.C. (2011) “Predicting India’s Future: Does it Justify the Exportation of US Social Work Education?” </w:t>
      </w:r>
      <w:r w:rsidRPr="005413C0">
        <w:rPr>
          <w:rFonts w:ascii="Times New Roman" w:hAnsi="Times New Roman" w:cs="Times New Roman"/>
          <w:i/>
        </w:rPr>
        <w:t>Social Work Education</w:t>
      </w:r>
      <w:r>
        <w:rPr>
          <w:rFonts w:ascii="Times New Roman" w:hAnsi="Times New Roman" w:cs="Times New Roman"/>
        </w:rPr>
        <w:t xml:space="preserve"> Vol. 30(7) pp.861-873</w:t>
      </w:r>
    </w:p>
    <w:p w:rsidR="007B02FA" w:rsidRDefault="007B02FA" w:rsidP="005B560B">
      <w:pPr>
        <w:rPr>
          <w:rFonts w:ascii="Times New Roman" w:hAnsi="Times New Roman" w:cs="Times New Roman"/>
        </w:rPr>
      </w:pPr>
      <w:r>
        <w:rPr>
          <w:rFonts w:ascii="Times New Roman" w:hAnsi="Times New Roman" w:cs="Times New Roman"/>
        </w:rPr>
        <w:t xml:space="preserve">Walz, T. and Ritchie, H. (2000) “Gandhian Principles in Social Work Practice: Ethics Revisited” </w:t>
      </w:r>
      <w:r w:rsidRPr="00AB7A7D">
        <w:rPr>
          <w:rFonts w:ascii="Times New Roman" w:hAnsi="Times New Roman" w:cs="Times New Roman"/>
          <w:i/>
        </w:rPr>
        <w:t>Social Work</w:t>
      </w:r>
      <w:r>
        <w:rPr>
          <w:rFonts w:ascii="Times New Roman" w:hAnsi="Times New Roman" w:cs="Times New Roman"/>
          <w:i/>
        </w:rPr>
        <w:t xml:space="preserve">. </w:t>
      </w:r>
      <w:r>
        <w:rPr>
          <w:rFonts w:ascii="Times New Roman" w:hAnsi="Times New Roman" w:cs="Times New Roman"/>
        </w:rPr>
        <w:t>Vol. 45(3) p</w:t>
      </w:r>
      <w:r w:rsidRPr="00AB7A7D">
        <w:rPr>
          <w:rFonts w:ascii="Times New Roman" w:hAnsi="Times New Roman" w:cs="Times New Roman"/>
        </w:rPr>
        <w:t>p</w:t>
      </w:r>
      <w:r>
        <w:rPr>
          <w:rFonts w:ascii="Times New Roman" w:hAnsi="Times New Roman" w:cs="Times New Roman"/>
        </w:rPr>
        <w:t xml:space="preserve">. </w:t>
      </w:r>
      <w:r w:rsidRPr="00AB7A7D">
        <w:rPr>
          <w:rFonts w:ascii="Times New Roman" w:hAnsi="Times New Roman" w:cs="Times New Roman"/>
        </w:rPr>
        <w:t>212-222</w:t>
      </w:r>
    </w:p>
    <w:p w:rsidR="007B02FA" w:rsidRDefault="007B02FA" w:rsidP="005B560B">
      <w:pPr>
        <w:rPr>
          <w:rFonts w:ascii="Times New Roman" w:hAnsi="Times New Roman" w:cs="Times New Roman"/>
        </w:rPr>
      </w:pPr>
      <w:r w:rsidRPr="005B560B">
        <w:rPr>
          <w:rFonts w:asciiTheme="majorBidi" w:hAnsiTheme="majorBidi" w:cstheme="majorBidi"/>
          <w:color w:val="000000"/>
          <w:sz w:val="24"/>
          <w:szCs w:val="24"/>
        </w:rPr>
        <w:t>Webb, S.A. (2007) The comfort of strangers: social work, modernity and late Victorian England: part II</w:t>
      </w:r>
      <w:r w:rsidRPr="005B560B">
        <w:rPr>
          <w:rFonts w:asciiTheme="majorBidi" w:hAnsiTheme="majorBidi" w:cstheme="majorBidi"/>
          <w:b/>
          <w:bCs/>
          <w:color w:val="000000"/>
        </w:rPr>
        <w:t xml:space="preserve"> </w:t>
      </w:r>
      <w:r w:rsidRPr="005B560B">
        <w:rPr>
          <w:rFonts w:asciiTheme="majorBidi" w:eastAsia="Times New Roman" w:hAnsiTheme="majorBidi" w:cstheme="majorBidi"/>
          <w:i/>
          <w:iCs/>
          <w:color w:val="000000"/>
          <w:sz w:val="24"/>
          <w:szCs w:val="24"/>
          <w:lang w:bidi="ar-SA"/>
        </w:rPr>
        <w:t>European Journal of Social Work</w:t>
      </w:r>
      <w:r w:rsidRPr="005B560B">
        <w:rPr>
          <w:rFonts w:asciiTheme="majorBidi" w:eastAsia="Times New Roman" w:hAnsiTheme="majorBidi" w:cstheme="majorBidi"/>
          <w:color w:val="000000"/>
          <w:sz w:val="20"/>
          <w:szCs w:val="20"/>
          <w:lang w:bidi="ar-SA"/>
        </w:rPr>
        <w:t xml:space="preserve"> </w:t>
      </w:r>
      <w:r w:rsidRPr="005B560B">
        <w:rPr>
          <w:rFonts w:asciiTheme="majorBidi" w:eastAsia="Times New Roman" w:hAnsiTheme="majorBidi" w:cstheme="majorBidi"/>
          <w:color w:val="000000"/>
          <w:sz w:val="24"/>
          <w:szCs w:val="24"/>
          <w:lang w:bidi="ar-SA"/>
        </w:rPr>
        <w:t xml:space="preserve">Vol. 10, </w:t>
      </w:r>
      <w:r>
        <w:rPr>
          <w:rFonts w:asciiTheme="majorBidi" w:eastAsia="Times New Roman" w:hAnsiTheme="majorBidi" w:cstheme="majorBidi"/>
          <w:color w:val="000000"/>
          <w:sz w:val="24"/>
          <w:szCs w:val="24"/>
          <w:lang w:bidi="ar-SA"/>
        </w:rPr>
        <w:t>(</w:t>
      </w:r>
      <w:r w:rsidRPr="005B560B">
        <w:rPr>
          <w:rFonts w:asciiTheme="majorBidi" w:eastAsia="Times New Roman" w:hAnsiTheme="majorBidi" w:cstheme="majorBidi"/>
          <w:color w:val="000000"/>
          <w:sz w:val="24"/>
          <w:szCs w:val="24"/>
          <w:lang w:bidi="ar-SA"/>
        </w:rPr>
        <w:t>2</w:t>
      </w:r>
      <w:r>
        <w:rPr>
          <w:rFonts w:asciiTheme="majorBidi" w:eastAsia="Times New Roman" w:hAnsiTheme="majorBidi" w:cstheme="majorBidi"/>
          <w:color w:val="000000"/>
          <w:sz w:val="24"/>
          <w:szCs w:val="24"/>
          <w:lang w:bidi="ar-SA"/>
        </w:rPr>
        <w:t>)</w:t>
      </w:r>
      <w:r w:rsidRPr="005B560B">
        <w:rPr>
          <w:rFonts w:asciiTheme="majorBidi" w:eastAsia="Times New Roman" w:hAnsiTheme="majorBidi" w:cstheme="majorBidi"/>
          <w:color w:val="000000"/>
          <w:sz w:val="24"/>
          <w:szCs w:val="24"/>
          <w:lang w:bidi="ar-SA"/>
        </w:rPr>
        <w:t>, p. 193-207</w:t>
      </w:r>
      <w:r w:rsidRPr="005B560B">
        <w:rPr>
          <w:rFonts w:asciiTheme="majorBidi" w:eastAsia="Times New Roman" w:hAnsiTheme="majorBidi" w:cstheme="majorBidi"/>
          <w:color w:val="000000"/>
          <w:sz w:val="20"/>
          <w:szCs w:val="20"/>
          <w:lang w:bidi="ar-SA"/>
        </w:rPr>
        <w:t xml:space="preserve"> </w:t>
      </w:r>
    </w:p>
    <w:p w:rsidR="007B02FA" w:rsidRPr="00A2237B" w:rsidRDefault="007B02FA" w:rsidP="006200AF">
      <w:pPr>
        <w:autoSpaceDE w:val="0"/>
        <w:autoSpaceDN w:val="0"/>
        <w:adjustRightInd w:val="0"/>
        <w:spacing w:after="0" w:line="240" w:lineRule="auto"/>
        <w:rPr>
          <w:rFonts w:ascii="AdvPSA5EF" w:hAnsi="AdvPSA5EF" w:cs="AdvPSA5EF"/>
          <w:color w:val="231F20"/>
        </w:rPr>
      </w:pPr>
      <w:r w:rsidRPr="00A2237B">
        <w:rPr>
          <w:rFonts w:ascii="AdvPSA5EF" w:hAnsi="AdvPSA5EF" w:cs="AdvPSA5EF"/>
          <w:color w:val="231F20"/>
        </w:rPr>
        <w:t>Wong, Y. and Vinsky, J. (2009) ‘Speaking from the margins: A critical reflection on the</w:t>
      </w:r>
    </w:p>
    <w:p w:rsidR="007B02FA" w:rsidRPr="00A2237B" w:rsidRDefault="007B02FA" w:rsidP="006200AF">
      <w:pPr>
        <w:autoSpaceDE w:val="0"/>
        <w:autoSpaceDN w:val="0"/>
        <w:adjustRightInd w:val="0"/>
        <w:spacing w:after="0" w:line="240" w:lineRule="auto"/>
        <w:rPr>
          <w:rFonts w:ascii="AdvPSA5EF" w:hAnsi="AdvPSA5EF" w:cs="AdvPSA5EF"/>
          <w:color w:val="231F20"/>
        </w:rPr>
      </w:pPr>
      <w:r w:rsidRPr="00A2237B">
        <w:rPr>
          <w:rFonts w:ascii="AdvPSA5EF" w:hAnsi="AdvPSA5EF" w:cs="AdvPSA5EF"/>
          <w:color w:val="231F20"/>
        </w:rPr>
        <w:t xml:space="preserve">“spiritual-but-not-religious” discourse in social work’, </w:t>
      </w:r>
      <w:r w:rsidRPr="00A2237B">
        <w:rPr>
          <w:rFonts w:asciiTheme="majorBidi" w:hAnsiTheme="majorBidi" w:cstheme="majorBidi"/>
          <w:i/>
          <w:iCs/>
          <w:color w:val="231F20"/>
        </w:rPr>
        <w:t>British Journal of Social Work,</w:t>
      </w:r>
    </w:p>
    <w:p w:rsidR="007B02FA" w:rsidRPr="00A2237B" w:rsidRDefault="007B02FA" w:rsidP="006200AF">
      <w:pPr>
        <w:rPr>
          <w:rFonts w:ascii="Times New Roman" w:hAnsi="Times New Roman" w:cs="Times New Roman"/>
        </w:rPr>
      </w:pPr>
      <w:r>
        <w:rPr>
          <w:rFonts w:ascii="AdvPSA5F0" w:hAnsi="AdvPSA5F0" w:cs="AdvPSA5F0"/>
          <w:color w:val="231F20"/>
        </w:rPr>
        <w:t xml:space="preserve">Vol. </w:t>
      </w:r>
      <w:r w:rsidRPr="00A2237B">
        <w:rPr>
          <w:rFonts w:ascii="AdvPSA5F0" w:hAnsi="AdvPSA5F0" w:cs="AdvPSA5F0"/>
          <w:color w:val="231F20"/>
        </w:rPr>
        <w:t>39</w:t>
      </w:r>
      <w:r w:rsidRPr="00A2237B">
        <w:rPr>
          <w:rFonts w:ascii="AdvPSA5EF" w:hAnsi="AdvPSA5EF" w:cs="AdvPSA5EF"/>
          <w:color w:val="231F20"/>
        </w:rPr>
        <w:t>(7), pp. 1343—59.</w:t>
      </w:r>
    </w:p>
    <w:p w:rsidR="007B02FA" w:rsidRDefault="007B02FA" w:rsidP="006200AF">
      <w:pPr>
        <w:rPr>
          <w:rFonts w:ascii="Times New Roman" w:hAnsi="Times New Roman" w:cs="Times New Roman"/>
        </w:rPr>
      </w:pPr>
      <w:r>
        <w:rPr>
          <w:rFonts w:ascii="Times New Roman" w:hAnsi="Times New Roman" w:cs="Times New Roman"/>
        </w:rPr>
        <w:t xml:space="preserve">Westoby, P. and Ingamells, A. (2012) “Teaching Community Development Personal Practice Frameworks” </w:t>
      </w:r>
      <w:r w:rsidRPr="00323629">
        <w:rPr>
          <w:rFonts w:ascii="Times New Roman" w:hAnsi="Times New Roman" w:cs="Times New Roman"/>
          <w:i/>
        </w:rPr>
        <w:t>Social Work Education</w:t>
      </w:r>
      <w:r>
        <w:rPr>
          <w:rFonts w:ascii="Times New Roman" w:hAnsi="Times New Roman" w:cs="Times New Roman"/>
        </w:rPr>
        <w:t>. Vol. 31(3) pp.383-396</w:t>
      </w:r>
    </w:p>
    <w:p w:rsidR="007B02FA" w:rsidRDefault="007B02FA" w:rsidP="006200AF">
      <w:pPr>
        <w:rPr>
          <w:rFonts w:ascii="Times New Roman" w:hAnsi="Times New Roman" w:cs="Times New Roman"/>
        </w:rPr>
      </w:pPr>
      <w:r>
        <w:rPr>
          <w:rFonts w:ascii="Times New Roman" w:hAnsi="Times New Roman" w:cs="Times New Roman"/>
        </w:rPr>
        <w:t xml:space="preserve">Younghusband, E. (1981) </w:t>
      </w:r>
      <w:r w:rsidRPr="00D33EC8">
        <w:rPr>
          <w:rFonts w:ascii="Times New Roman" w:hAnsi="Times New Roman" w:cs="Times New Roman"/>
          <w:i/>
          <w:iCs/>
        </w:rPr>
        <w:t>The Newest Profession: A Short History of Social Work</w:t>
      </w:r>
      <w:r>
        <w:rPr>
          <w:rFonts w:ascii="Times New Roman" w:hAnsi="Times New Roman" w:cs="Times New Roman"/>
        </w:rPr>
        <w:t xml:space="preserve">. Sutton. Community Care/ IPC Business Press </w:t>
      </w:r>
    </w:p>
    <w:p w:rsidR="007B02FA" w:rsidRDefault="009A6EA0" w:rsidP="006200AF">
      <w:pPr>
        <w:rPr>
          <w:rFonts w:ascii="Times New Roman" w:hAnsi="Times New Roman" w:cs="Times New Roman"/>
        </w:rPr>
      </w:pPr>
      <w:hyperlink r:id="rId2" w:history="1">
        <w:r w:rsidR="007B02FA" w:rsidRPr="00D27933">
          <w:rPr>
            <w:rStyle w:val="Hyperlink"/>
            <w:rFonts w:ascii="Times New Roman" w:hAnsi="Times New Roman" w:cs="Times New Roman"/>
          </w:rPr>
          <w:t>www.gandhian.foundation.com</w:t>
        </w:r>
      </w:hyperlink>
    </w:p>
    <w:p w:rsidR="007B02FA" w:rsidRPr="00AB7A7D" w:rsidRDefault="007B02FA" w:rsidP="006200AF">
      <w:pPr>
        <w:rPr>
          <w:rFonts w:ascii="Times New Roman" w:hAnsi="Times New Roman" w:cs="Times New Roman"/>
        </w:rPr>
      </w:pPr>
      <w:r>
        <w:rPr>
          <w:rFonts w:ascii="Times New Roman" w:hAnsi="Times New Roman" w:cs="Times New Roman"/>
        </w:rPr>
        <w:t>www.muriellester.com</w:t>
      </w:r>
    </w:p>
    <w:p w:rsidR="007B02FA" w:rsidRPr="000F3FB7" w:rsidRDefault="007B02FA" w:rsidP="000E3A27">
      <w:pPr>
        <w:pStyle w:val="EndnoteText"/>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A5EF">
    <w:panose1 w:val="00000000000000000000"/>
    <w:charset w:val="00"/>
    <w:family w:val="roman"/>
    <w:notTrueType/>
    <w:pitch w:val="default"/>
    <w:sig w:usb0="00000003" w:usb1="00000000" w:usb2="00000000" w:usb3="00000000" w:csb0="00000001" w:csb1="00000000"/>
  </w:font>
  <w:font w:name="AdvPSA5F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12923"/>
      <w:docPartObj>
        <w:docPartGallery w:val="Page Numbers (Bottom of Page)"/>
        <w:docPartUnique/>
      </w:docPartObj>
    </w:sdtPr>
    <w:sdtEndPr/>
    <w:sdtContent>
      <w:p w:rsidR="007B02FA" w:rsidRDefault="00AC7B93">
        <w:pPr>
          <w:pStyle w:val="Footer"/>
          <w:jc w:val="right"/>
        </w:pPr>
        <w:r>
          <w:fldChar w:fldCharType="begin"/>
        </w:r>
        <w:r>
          <w:instrText xml:space="preserve"> PAGE   \* MERGEFORMAT </w:instrText>
        </w:r>
        <w:r>
          <w:fldChar w:fldCharType="separate"/>
        </w:r>
        <w:r w:rsidR="009A6EA0">
          <w:rPr>
            <w:noProof/>
          </w:rPr>
          <w:t>1</w:t>
        </w:r>
        <w:r>
          <w:rPr>
            <w:noProof/>
          </w:rPr>
          <w:fldChar w:fldCharType="end"/>
        </w:r>
      </w:p>
    </w:sdtContent>
  </w:sdt>
  <w:p w:rsidR="007B02FA" w:rsidRDefault="007B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FA" w:rsidRDefault="007B02FA" w:rsidP="000E3A27">
      <w:pPr>
        <w:spacing w:after="0" w:line="240" w:lineRule="auto"/>
      </w:pPr>
      <w:r>
        <w:separator/>
      </w:r>
    </w:p>
  </w:footnote>
  <w:footnote w:type="continuationSeparator" w:id="0">
    <w:p w:rsidR="007B02FA" w:rsidRDefault="007B02FA" w:rsidP="000E3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27"/>
    <w:rsid w:val="000754AA"/>
    <w:rsid w:val="000D4873"/>
    <w:rsid w:val="000E3A27"/>
    <w:rsid w:val="001101CA"/>
    <w:rsid w:val="00116DAB"/>
    <w:rsid w:val="001177D1"/>
    <w:rsid w:val="00145C06"/>
    <w:rsid w:val="00156288"/>
    <w:rsid w:val="00166487"/>
    <w:rsid w:val="00196924"/>
    <w:rsid w:val="001A06B6"/>
    <w:rsid w:val="001A0B0C"/>
    <w:rsid w:val="001A2AA3"/>
    <w:rsid w:val="001A5644"/>
    <w:rsid w:val="001A77E7"/>
    <w:rsid w:val="001C5DA9"/>
    <w:rsid w:val="002237A5"/>
    <w:rsid w:val="00225706"/>
    <w:rsid w:val="0026509E"/>
    <w:rsid w:val="002970E1"/>
    <w:rsid w:val="002C78D1"/>
    <w:rsid w:val="002D2D1A"/>
    <w:rsid w:val="0032594B"/>
    <w:rsid w:val="00335FCC"/>
    <w:rsid w:val="003458EF"/>
    <w:rsid w:val="00357355"/>
    <w:rsid w:val="00376CC1"/>
    <w:rsid w:val="0038158E"/>
    <w:rsid w:val="003C734C"/>
    <w:rsid w:val="003E79C2"/>
    <w:rsid w:val="004019EB"/>
    <w:rsid w:val="0041474E"/>
    <w:rsid w:val="00426467"/>
    <w:rsid w:val="004734C0"/>
    <w:rsid w:val="00552AFD"/>
    <w:rsid w:val="00556D30"/>
    <w:rsid w:val="005730E3"/>
    <w:rsid w:val="0058655E"/>
    <w:rsid w:val="00595F67"/>
    <w:rsid w:val="005A02A8"/>
    <w:rsid w:val="005B560B"/>
    <w:rsid w:val="005D1C87"/>
    <w:rsid w:val="005D2310"/>
    <w:rsid w:val="00604673"/>
    <w:rsid w:val="006200AF"/>
    <w:rsid w:val="00627B81"/>
    <w:rsid w:val="006C4B0E"/>
    <w:rsid w:val="00720830"/>
    <w:rsid w:val="0072204D"/>
    <w:rsid w:val="00763030"/>
    <w:rsid w:val="00765B9B"/>
    <w:rsid w:val="00772526"/>
    <w:rsid w:val="00780CFA"/>
    <w:rsid w:val="0078164E"/>
    <w:rsid w:val="007B02FA"/>
    <w:rsid w:val="007B6EDB"/>
    <w:rsid w:val="00805D6A"/>
    <w:rsid w:val="00867D7D"/>
    <w:rsid w:val="008A0B5A"/>
    <w:rsid w:val="00915A38"/>
    <w:rsid w:val="009A6EA0"/>
    <w:rsid w:val="009C7494"/>
    <w:rsid w:val="009C7A5E"/>
    <w:rsid w:val="009D5EDE"/>
    <w:rsid w:val="00A14446"/>
    <w:rsid w:val="00A341C8"/>
    <w:rsid w:val="00A6015A"/>
    <w:rsid w:val="00AB4A37"/>
    <w:rsid w:val="00AC7B93"/>
    <w:rsid w:val="00AE3BD8"/>
    <w:rsid w:val="00B34FE7"/>
    <w:rsid w:val="00B429F7"/>
    <w:rsid w:val="00B43831"/>
    <w:rsid w:val="00B821C8"/>
    <w:rsid w:val="00B83A15"/>
    <w:rsid w:val="00BD0D28"/>
    <w:rsid w:val="00BE63E8"/>
    <w:rsid w:val="00C0123B"/>
    <w:rsid w:val="00C34345"/>
    <w:rsid w:val="00C52AAD"/>
    <w:rsid w:val="00CB4407"/>
    <w:rsid w:val="00D66369"/>
    <w:rsid w:val="00DA09E8"/>
    <w:rsid w:val="00DB77E4"/>
    <w:rsid w:val="00E43A92"/>
    <w:rsid w:val="00E62D4D"/>
    <w:rsid w:val="00E96506"/>
    <w:rsid w:val="00ED76A8"/>
    <w:rsid w:val="00F06AD5"/>
    <w:rsid w:val="00F14338"/>
    <w:rsid w:val="00F231E0"/>
    <w:rsid w:val="00F423CC"/>
    <w:rsid w:val="00F8256F"/>
    <w:rsid w:val="00FA04F7"/>
    <w:rsid w:val="00FC5A30"/>
    <w:rsid w:val="00FD4F5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27"/>
    <w:rPr>
      <w:color w:val="333333"/>
      <w:u w:val="single"/>
    </w:rPr>
  </w:style>
  <w:style w:type="paragraph" w:customStyle="1" w:styleId="list1">
    <w:name w:val="list1"/>
    <w:basedOn w:val="Normal"/>
    <w:rsid w:val="000E3A27"/>
    <w:pPr>
      <w:spacing w:before="50" w:after="50" w:line="240" w:lineRule="auto"/>
      <w:ind w:left="150" w:right="15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E3A27"/>
    <w:rPr>
      <w:sz w:val="16"/>
      <w:szCs w:val="16"/>
    </w:rPr>
  </w:style>
  <w:style w:type="paragraph" w:styleId="CommentText">
    <w:name w:val="annotation text"/>
    <w:basedOn w:val="Normal"/>
    <w:link w:val="CommentTextChar"/>
    <w:uiPriority w:val="99"/>
    <w:semiHidden/>
    <w:unhideWhenUsed/>
    <w:rsid w:val="000E3A27"/>
    <w:pPr>
      <w:spacing w:line="240" w:lineRule="auto"/>
    </w:pPr>
    <w:rPr>
      <w:sz w:val="20"/>
      <w:szCs w:val="20"/>
    </w:rPr>
  </w:style>
  <w:style w:type="character" w:customStyle="1" w:styleId="CommentTextChar">
    <w:name w:val="Comment Text Char"/>
    <w:basedOn w:val="DefaultParagraphFont"/>
    <w:link w:val="CommentText"/>
    <w:uiPriority w:val="99"/>
    <w:semiHidden/>
    <w:rsid w:val="000E3A27"/>
    <w:rPr>
      <w:rFonts w:eastAsiaTheme="minorEastAsia"/>
      <w:sz w:val="20"/>
      <w:szCs w:val="20"/>
      <w:lang w:eastAsia="zh-CN" w:bidi="he-IL"/>
    </w:rPr>
  </w:style>
  <w:style w:type="paragraph" w:styleId="EndnoteText">
    <w:name w:val="endnote text"/>
    <w:basedOn w:val="Normal"/>
    <w:link w:val="EndnoteTextChar"/>
    <w:uiPriority w:val="99"/>
    <w:semiHidden/>
    <w:unhideWhenUsed/>
    <w:rsid w:val="000E3A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A27"/>
    <w:rPr>
      <w:rFonts w:eastAsiaTheme="minorEastAsia"/>
      <w:sz w:val="20"/>
      <w:szCs w:val="20"/>
      <w:lang w:eastAsia="zh-CN" w:bidi="he-IL"/>
    </w:rPr>
  </w:style>
  <w:style w:type="character" w:styleId="EndnoteReference">
    <w:name w:val="endnote reference"/>
    <w:basedOn w:val="DefaultParagraphFont"/>
    <w:uiPriority w:val="99"/>
    <w:semiHidden/>
    <w:unhideWhenUsed/>
    <w:rsid w:val="000E3A27"/>
    <w:rPr>
      <w:vertAlign w:val="superscript"/>
    </w:rPr>
  </w:style>
  <w:style w:type="paragraph" w:styleId="BalloonText">
    <w:name w:val="Balloon Text"/>
    <w:basedOn w:val="Normal"/>
    <w:link w:val="BalloonTextChar"/>
    <w:uiPriority w:val="99"/>
    <w:semiHidden/>
    <w:unhideWhenUsed/>
    <w:rsid w:val="000E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27"/>
    <w:rPr>
      <w:rFonts w:ascii="Tahoma" w:eastAsiaTheme="minorEastAsia" w:hAnsi="Tahoma" w:cs="Tahoma"/>
      <w:sz w:val="16"/>
      <w:szCs w:val="16"/>
      <w:lang w:eastAsia="zh-CN" w:bidi="he-IL"/>
    </w:rPr>
  </w:style>
  <w:style w:type="paragraph" w:styleId="Header">
    <w:name w:val="header"/>
    <w:basedOn w:val="Normal"/>
    <w:link w:val="HeaderChar"/>
    <w:uiPriority w:val="99"/>
    <w:unhideWhenUsed/>
    <w:rsid w:val="00586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5E"/>
    <w:rPr>
      <w:rFonts w:eastAsiaTheme="minorEastAsia"/>
      <w:lang w:eastAsia="zh-CN" w:bidi="he-IL"/>
    </w:rPr>
  </w:style>
  <w:style w:type="paragraph" w:styleId="Footer">
    <w:name w:val="footer"/>
    <w:basedOn w:val="Normal"/>
    <w:link w:val="FooterChar"/>
    <w:uiPriority w:val="99"/>
    <w:unhideWhenUsed/>
    <w:rsid w:val="00586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5E"/>
    <w:rPr>
      <w:rFonts w:eastAsiaTheme="minorEastAsia"/>
      <w:lang w:eastAsia="zh-CN" w:bidi="he-IL"/>
    </w:rPr>
  </w:style>
  <w:style w:type="paragraph" w:styleId="CommentSubject">
    <w:name w:val="annotation subject"/>
    <w:basedOn w:val="CommentText"/>
    <w:next w:val="CommentText"/>
    <w:link w:val="CommentSubjectChar"/>
    <w:uiPriority w:val="99"/>
    <w:semiHidden/>
    <w:unhideWhenUsed/>
    <w:rsid w:val="006C4B0E"/>
    <w:rPr>
      <w:b/>
      <w:bCs/>
    </w:rPr>
  </w:style>
  <w:style w:type="character" w:customStyle="1" w:styleId="CommentSubjectChar">
    <w:name w:val="Comment Subject Char"/>
    <w:basedOn w:val="CommentTextChar"/>
    <w:link w:val="CommentSubject"/>
    <w:uiPriority w:val="99"/>
    <w:semiHidden/>
    <w:rsid w:val="006C4B0E"/>
    <w:rPr>
      <w:rFonts w:eastAsiaTheme="minorEastAsia"/>
      <w:b/>
      <w:bCs/>
      <w:sz w:val="20"/>
      <w:szCs w:val="20"/>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27"/>
    <w:rPr>
      <w:color w:val="333333"/>
      <w:u w:val="single"/>
    </w:rPr>
  </w:style>
  <w:style w:type="paragraph" w:customStyle="1" w:styleId="list1">
    <w:name w:val="list1"/>
    <w:basedOn w:val="Normal"/>
    <w:rsid w:val="000E3A27"/>
    <w:pPr>
      <w:spacing w:before="50" w:after="50" w:line="240" w:lineRule="auto"/>
      <w:ind w:left="150" w:right="15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E3A27"/>
    <w:rPr>
      <w:sz w:val="16"/>
      <w:szCs w:val="16"/>
    </w:rPr>
  </w:style>
  <w:style w:type="paragraph" w:styleId="CommentText">
    <w:name w:val="annotation text"/>
    <w:basedOn w:val="Normal"/>
    <w:link w:val="CommentTextChar"/>
    <w:uiPriority w:val="99"/>
    <w:semiHidden/>
    <w:unhideWhenUsed/>
    <w:rsid w:val="000E3A27"/>
    <w:pPr>
      <w:spacing w:line="240" w:lineRule="auto"/>
    </w:pPr>
    <w:rPr>
      <w:sz w:val="20"/>
      <w:szCs w:val="20"/>
    </w:rPr>
  </w:style>
  <w:style w:type="character" w:customStyle="1" w:styleId="CommentTextChar">
    <w:name w:val="Comment Text Char"/>
    <w:basedOn w:val="DefaultParagraphFont"/>
    <w:link w:val="CommentText"/>
    <w:uiPriority w:val="99"/>
    <w:semiHidden/>
    <w:rsid w:val="000E3A27"/>
    <w:rPr>
      <w:rFonts w:eastAsiaTheme="minorEastAsia"/>
      <w:sz w:val="20"/>
      <w:szCs w:val="20"/>
      <w:lang w:eastAsia="zh-CN" w:bidi="he-IL"/>
    </w:rPr>
  </w:style>
  <w:style w:type="paragraph" w:styleId="EndnoteText">
    <w:name w:val="endnote text"/>
    <w:basedOn w:val="Normal"/>
    <w:link w:val="EndnoteTextChar"/>
    <w:uiPriority w:val="99"/>
    <w:semiHidden/>
    <w:unhideWhenUsed/>
    <w:rsid w:val="000E3A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A27"/>
    <w:rPr>
      <w:rFonts w:eastAsiaTheme="minorEastAsia"/>
      <w:sz w:val="20"/>
      <w:szCs w:val="20"/>
      <w:lang w:eastAsia="zh-CN" w:bidi="he-IL"/>
    </w:rPr>
  </w:style>
  <w:style w:type="character" w:styleId="EndnoteReference">
    <w:name w:val="endnote reference"/>
    <w:basedOn w:val="DefaultParagraphFont"/>
    <w:uiPriority w:val="99"/>
    <w:semiHidden/>
    <w:unhideWhenUsed/>
    <w:rsid w:val="000E3A27"/>
    <w:rPr>
      <w:vertAlign w:val="superscript"/>
    </w:rPr>
  </w:style>
  <w:style w:type="paragraph" w:styleId="BalloonText">
    <w:name w:val="Balloon Text"/>
    <w:basedOn w:val="Normal"/>
    <w:link w:val="BalloonTextChar"/>
    <w:uiPriority w:val="99"/>
    <w:semiHidden/>
    <w:unhideWhenUsed/>
    <w:rsid w:val="000E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27"/>
    <w:rPr>
      <w:rFonts w:ascii="Tahoma" w:eastAsiaTheme="minorEastAsia" w:hAnsi="Tahoma" w:cs="Tahoma"/>
      <w:sz w:val="16"/>
      <w:szCs w:val="16"/>
      <w:lang w:eastAsia="zh-CN" w:bidi="he-IL"/>
    </w:rPr>
  </w:style>
  <w:style w:type="paragraph" w:styleId="Header">
    <w:name w:val="header"/>
    <w:basedOn w:val="Normal"/>
    <w:link w:val="HeaderChar"/>
    <w:uiPriority w:val="99"/>
    <w:unhideWhenUsed/>
    <w:rsid w:val="00586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5E"/>
    <w:rPr>
      <w:rFonts w:eastAsiaTheme="minorEastAsia"/>
      <w:lang w:eastAsia="zh-CN" w:bidi="he-IL"/>
    </w:rPr>
  </w:style>
  <w:style w:type="paragraph" w:styleId="Footer">
    <w:name w:val="footer"/>
    <w:basedOn w:val="Normal"/>
    <w:link w:val="FooterChar"/>
    <w:uiPriority w:val="99"/>
    <w:unhideWhenUsed/>
    <w:rsid w:val="00586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5E"/>
    <w:rPr>
      <w:rFonts w:eastAsiaTheme="minorEastAsia"/>
      <w:lang w:eastAsia="zh-CN" w:bidi="he-IL"/>
    </w:rPr>
  </w:style>
  <w:style w:type="paragraph" w:styleId="CommentSubject">
    <w:name w:val="annotation subject"/>
    <w:basedOn w:val="CommentText"/>
    <w:next w:val="CommentText"/>
    <w:link w:val="CommentSubjectChar"/>
    <w:uiPriority w:val="99"/>
    <w:semiHidden/>
    <w:unhideWhenUsed/>
    <w:rsid w:val="006C4B0E"/>
    <w:rPr>
      <w:b/>
      <w:bCs/>
    </w:rPr>
  </w:style>
  <w:style w:type="character" w:customStyle="1" w:styleId="CommentSubjectChar">
    <w:name w:val="Comment Subject Char"/>
    <w:basedOn w:val="CommentTextChar"/>
    <w:link w:val="CommentSubject"/>
    <w:uiPriority w:val="99"/>
    <w:semiHidden/>
    <w:rsid w:val="006C4B0E"/>
    <w:rPr>
      <w:rFonts w:eastAsiaTheme="minorEastAsia"/>
      <w:b/>
      <w:bCs/>
      <w:sz w:val="20"/>
      <w:szCs w:val="2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100">
      <w:bodyDiv w:val="1"/>
      <w:marLeft w:val="0"/>
      <w:marRight w:val="0"/>
      <w:marTop w:val="0"/>
      <w:marBottom w:val="240"/>
      <w:divBdr>
        <w:top w:val="none" w:sz="0" w:space="0" w:color="auto"/>
        <w:left w:val="none" w:sz="0" w:space="0" w:color="auto"/>
        <w:bottom w:val="none" w:sz="0" w:space="0" w:color="auto"/>
        <w:right w:val="none" w:sz="0" w:space="0" w:color="auto"/>
      </w:divBdr>
      <w:divsChild>
        <w:div w:id="1815443208">
          <w:marLeft w:val="30"/>
          <w:marRight w:val="0"/>
          <w:marTop w:val="0"/>
          <w:marBottom w:val="0"/>
          <w:divBdr>
            <w:top w:val="none" w:sz="0" w:space="0" w:color="auto"/>
            <w:left w:val="none" w:sz="0" w:space="0" w:color="auto"/>
            <w:bottom w:val="none" w:sz="0" w:space="0" w:color="auto"/>
            <w:right w:val="none" w:sz="0" w:space="0" w:color="auto"/>
          </w:divBdr>
          <w:divsChild>
            <w:div w:id="1918317134">
              <w:marLeft w:val="0"/>
              <w:marRight w:val="0"/>
              <w:marTop w:val="0"/>
              <w:marBottom w:val="0"/>
              <w:divBdr>
                <w:top w:val="none" w:sz="0" w:space="0" w:color="auto"/>
                <w:left w:val="none" w:sz="0" w:space="0" w:color="auto"/>
                <w:bottom w:val="none" w:sz="0" w:space="0" w:color="auto"/>
                <w:right w:val="none" w:sz="0" w:space="0" w:color="auto"/>
              </w:divBdr>
              <w:divsChild>
                <w:div w:id="2083327160">
                  <w:marLeft w:val="0"/>
                  <w:marRight w:val="0"/>
                  <w:marTop w:val="0"/>
                  <w:marBottom w:val="0"/>
                  <w:divBdr>
                    <w:top w:val="none" w:sz="0" w:space="0" w:color="auto"/>
                    <w:left w:val="none" w:sz="0" w:space="0" w:color="auto"/>
                    <w:bottom w:val="none" w:sz="0" w:space="0" w:color="auto"/>
                    <w:right w:val="none" w:sz="0" w:space="0" w:color="auto"/>
                  </w:divBdr>
                  <w:divsChild>
                    <w:div w:id="1885942851">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 w:id="775515135">
      <w:bodyDiv w:val="1"/>
      <w:marLeft w:val="0"/>
      <w:marRight w:val="0"/>
      <w:marTop w:val="0"/>
      <w:marBottom w:val="240"/>
      <w:divBdr>
        <w:top w:val="none" w:sz="0" w:space="0" w:color="auto"/>
        <w:left w:val="none" w:sz="0" w:space="0" w:color="auto"/>
        <w:bottom w:val="none" w:sz="0" w:space="0" w:color="auto"/>
        <w:right w:val="none" w:sz="0" w:space="0" w:color="auto"/>
      </w:divBdr>
      <w:divsChild>
        <w:div w:id="360014125">
          <w:marLeft w:val="30"/>
          <w:marRight w:val="0"/>
          <w:marTop w:val="0"/>
          <w:marBottom w:val="0"/>
          <w:divBdr>
            <w:top w:val="none" w:sz="0" w:space="0" w:color="auto"/>
            <w:left w:val="none" w:sz="0" w:space="0" w:color="auto"/>
            <w:bottom w:val="none" w:sz="0" w:space="0" w:color="auto"/>
            <w:right w:val="none" w:sz="0" w:space="0" w:color="auto"/>
          </w:divBdr>
          <w:divsChild>
            <w:div w:id="911888827">
              <w:marLeft w:val="0"/>
              <w:marRight w:val="0"/>
              <w:marTop w:val="0"/>
              <w:marBottom w:val="0"/>
              <w:divBdr>
                <w:top w:val="none" w:sz="0" w:space="0" w:color="auto"/>
                <w:left w:val="none" w:sz="0" w:space="0" w:color="auto"/>
                <w:bottom w:val="none" w:sz="0" w:space="0" w:color="auto"/>
                <w:right w:val="none" w:sz="0" w:space="0" w:color="auto"/>
              </w:divBdr>
              <w:divsChild>
                <w:div w:id="1078598142">
                  <w:marLeft w:val="0"/>
                  <w:marRight w:val="0"/>
                  <w:marTop w:val="0"/>
                  <w:marBottom w:val="0"/>
                  <w:divBdr>
                    <w:top w:val="none" w:sz="0" w:space="0" w:color="auto"/>
                    <w:left w:val="none" w:sz="0" w:space="0" w:color="auto"/>
                    <w:bottom w:val="none" w:sz="0" w:space="0" w:color="auto"/>
                    <w:right w:val="none" w:sz="0" w:space="0" w:color="auto"/>
                  </w:divBdr>
                  <w:divsChild>
                    <w:div w:id="728841479">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ndhian.foundat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riellester.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gandhian.foundation.com" TargetMode="External"/><Relationship Id="rId1" Type="http://schemas.openxmlformats.org/officeDocument/2006/relationships/hyperlink" Target="http://www.scie-socialcareonline.org.uk/profile.asp?guid=088e1712-b4d8-43ae-9e92-53c6496a7b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E032-904F-4AAA-9541-E80088AA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C86ACF86</Template>
  <TotalTime>0</TotalTime>
  <Pages>10</Pages>
  <Words>4144</Words>
  <Characters>23623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Askew</dc:creator>
  <cp:lastModifiedBy>Pascale Fanning-Tichborne</cp:lastModifiedBy>
  <cp:revision>2</cp:revision>
  <cp:lastPrinted>2012-09-13T09:54:00Z</cp:lastPrinted>
  <dcterms:created xsi:type="dcterms:W3CDTF">2012-10-26T14:17:00Z</dcterms:created>
  <dcterms:modified xsi:type="dcterms:W3CDTF">2012-10-26T14:17:00Z</dcterms:modified>
</cp:coreProperties>
</file>