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42" w:rsidRPr="00585942" w:rsidRDefault="00585942" w:rsidP="00585942">
      <w:pPr>
        <w:spacing w:line="360" w:lineRule="auto"/>
        <w:rPr>
          <w:rFonts w:ascii="Times New Roman" w:hAnsi="Times New Roman"/>
          <w:b/>
          <w:sz w:val="32"/>
          <w:szCs w:val="32"/>
          <w:u w:val="single"/>
        </w:rPr>
      </w:pPr>
      <w:r w:rsidRPr="00585942">
        <w:rPr>
          <w:rFonts w:ascii="Times New Roman" w:hAnsi="Times New Roman"/>
          <w:b/>
          <w:i/>
          <w:iCs/>
          <w:sz w:val="32"/>
          <w:szCs w:val="32"/>
          <w:u w:val="single"/>
        </w:rPr>
        <w:t>Pace and Rogers</w:t>
      </w:r>
      <w:r w:rsidRPr="00585942">
        <w:rPr>
          <w:rFonts w:ascii="Times New Roman" w:hAnsi="Times New Roman"/>
          <w:b/>
          <w:sz w:val="32"/>
          <w:szCs w:val="32"/>
          <w:u w:val="single"/>
        </w:rPr>
        <w:t xml:space="preserve"> and the mens rea of criminal attempt: </w:t>
      </w:r>
      <w:r w:rsidRPr="00585942">
        <w:rPr>
          <w:rFonts w:ascii="Times New Roman" w:hAnsi="Times New Roman"/>
          <w:b/>
          <w:i/>
          <w:iCs/>
          <w:sz w:val="32"/>
          <w:szCs w:val="32"/>
          <w:u w:val="single"/>
        </w:rPr>
        <w:t>Khan</w:t>
      </w:r>
      <w:r w:rsidRPr="00585942">
        <w:rPr>
          <w:rFonts w:ascii="Times New Roman" w:hAnsi="Times New Roman"/>
          <w:b/>
          <w:sz w:val="32"/>
          <w:szCs w:val="32"/>
          <w:u w:val="single"/>
        </w:rPr>
        <w:t xml:space="preserve"> on the scrapheap?</w:t>
      </w:r>
    </w:p>
    <w:p w:rsidR="00585942" w:rsidRDefault="00585942" w:rsidP="00585942">
      <w:pPr>
        <w:spacing w:line="360" w:lineRule="auto"/>
        <w:jc w:val="both"/>
        <w:rPr>
          <w:rFonts w:ascii="Times New Roman" w:hAnsi="Times New Roman"/>
          <w:b/>
          <w:sz w:val="24"/>
        </w:rPr>
      </w:pPr>
      <w:r w:rsidRPr="00585942">
        <w:rPr>
          <w:rFonts w:ascii="Times New Roman" w:hAnsi="Times New Roman"/>
          <w:b/>
          <w:sz w:val="24"/>
        </w:rPr>
        <w:t>J.J. Child</w:t>
      </w:r>
      <w:r w:rsidR="007F71F7" w:rsidRPr="007F71F7">
        <w:rPr>
          <w:rStyle w:val="FootnoteReference"/>
          <w:rFonts w:ascii="Times New Roman" w:hAnsi="Times New Roman"/>
          <w:b/>
          <w:sz w:val="24"/>
        </w:rPr>
        <w:footnoteReference w:customMarkFollows="1" w:id="1"/>
        <w:sym w:font="Symbol" w:char="F02A"/>
      </w:r>
      <w:r w:rsidRPr="00585942">
        <w:rPr>
          <w:rFonts w:ascii="Times New Roman" w:hAnsi="Times New Roman"/>
          <w:b/>
          <w:sz w:val="24"/>
        </w:rPr>
        <w:t xml:space="preserve"> and Adrian Hunt</w:t>
      </w:r>
      <w:r w:rsidR="007F71F7" w:rsidRPr="007F71F7">
        <w:rPr>
          <w:rStyle w:val="FootnoteReference"/>
          <w:rFonts w:ascii="Times New Roman" w:hAnsi="Times New Roman"/>
          <w:b/>
          <w:sz w:val="24"/>
        </w:rPr>
        <w:footnoteReference w:customMarkFollows="1" w:id="2"/>
        <w:sym w:font="Symbol" w:char="F02A"/>
      </w:r>
    </w:p>
    <w:p w:rsidR="00A00C4F" w:rsidRPr="00585942" w:rsidRDefault="00A00C4F" w:rsidP="00585942">
      <w:pPr>
        <w:spacing w:line="360" w:lineRule="auto"/>
        <w:jc w:val="both"/>
        <w:rPr>
          <w:rFonts w:ascii="Times New Roman" w:hAnsi="Times New Roman"/>
          <w:b/>
          <w:sz w:val="24"/>
        </w:rPr>
      </w:pPr>
    </w:p>
    <w:p w:rsidR="00A26F9F" w:rsidRPr="00A26F9F" w:rsidRDefault="00A26F9F" w:rsidP="00A00C4F">
      <w:pPr>
        <w:spacing w:line="360" w:lineRule="auto"/>
        <w:jc w:val="both"/>
        <w:rPr>
          <w:rFonts w:ascii="Times New Roman" w:hAnsi="Times New Roman"/>
          <w:bCs/>
          <w:sz w:val="24"/>
        </w:rPr>
      </w:pPr>
      <w:r w:rsidRPr="00A26F9F">
        <w:rPr>
          <w:rFonts w:ascii="Times New Roman" w:hAnsi="Times New Roman"/>
          <w:bCs/>
          <w:sz w:val="24"/>
        </w:rPr>
        <w:t xml:space="preserve">In </w:t>
      </w:r>
      <w:r w:rsidRPr="00A26F9F">
        <w:rPr>
          <w:rFonts w:ascii="Times New Roman" w:hAnsi="Times New Roman"/>
          <w:bCs/>
          <w:i/>
          <w:iCs/>
          <w:sz w:val="24"/>
        </w:rPr>
        <w:t>Pace and Rogers</w:t>
      </w:r>
      <w:r w:rsidRPr="00A26F9F">
        <w:rPr>
          <w:rFonts w:ascii="Times New Roman" w:hAnsi="Times New Roman"/>
          <w:bCs/>
          <w:sz w:val="24"/>
          <w:vertAlign w:val="superscript"/>
        </w:rPr>
        <w:footnoteReference w:id="3"/>
      </w:r>
      <w:r w:rsidRPr="00A26F9F">
        <w:rPr>
          <w:rFonts w:ascii="Times New Roman" w:hAnsi="Times New Roman"/>
          <w:bCs/>
          <w:sz w:val="24"/>
        </w:rPr>
        <w:t xml:space="preserve"> the Court of Appeal provided a welcome return to first principles for the mens rea of criminal attempt. They begin with an analysis of the rationale of attempts as a separate form of liability (and as a separate wrong) from the </w:t>
      </w:r>
      <w:r w:rsidR="00A00C4F">
        <w:rPr>
          <w:rFonts w:ascii="Times New Roman" w:hAnsi="Times New Roman"/>
          <w:bCs/>
          <w:sz w:val="24"/>
        </w:rPr>
        <w:t xml:space="preserve">principal </w:t>
      </w:r>
      <w:r w:rsidRPr="00A26F9F">
        <w:rPr>
          <w:rFonts w:ascii="Times New Roman" w:hAnsi="Times New Roman"/>
          <w:bCs/>
          <w:sz w:val="24"/>
        </w:rPr>
        <w:t>offence attempted: stressing that there is nothing anomalous, and indeed there is often merit, in attempts requiring a narrower mens rea than the principal offence.</w:t>
      </w:r>
      <w:r w:rsidRPr="00A26F9F">
        <w:rPr>
          <w:rFonts w:ascii="Times New Roman" w:hAnsi="Times New Roman"/>
          <w:bCs/>
          <w:sz w:val="24"/>
          <w:vertAlign w:val="superscript"/>
        </w:rPr>
        <w:footnoteReference w:id="4"/>
      </w:r>
      <w:r w:rsidRPr="00A26F9F">
        <w:rPr>
          <w:rFonts w:ascii="Times New Roman" w:hAnsi="Times New Roman"/>
          <w:bCs/>
          <w:sz w:val="24"/>
        </w:rPr>
        <w:t xml:space="preserve"> From here, the court </w:t>
      </w:r>
      <w:r w:rsidR="00A00C4F">
        <w:rPr>
          <w:rFonts w:ascii="Times New Roman" w:hAnsi="Times New Roman"/>
          <w:bCs/>
          <w:sz w:val="24"/>
        </w:rPr>
        <w:t>are</w:t>
      </w:r>
      <w:r w:rsidRPr="00A26F9F">
        <w:rPr>
          <w:rFonts w:ascii="Times New Roman" w:hAnsi="Times New Roman"/>
          <w:bCs/>
          <w:sz w:val="24"/>
        </w:rPr>
        <w:t xml:space="preserve"> then able to interpret the mens rea of attempt (section 1(1) of the Criminal Attempts Act 1981 (CAA)) unencumbered by considerations of mens rea as to other offences, Davis </w:t>
      </w:r>
      <w:r w:rsidR="00DC1D32">
        <w:rPr>
          <w:rFonts w:ascii="Times New Roman" w:hAnsi="Times New Roman"/>
          <w:bCs/>
          <w:sz w:val="24"/>
        </w:rPr>
        <w:t>L</w:t>
      </w:r>
      <w:r w:rsidRPr="00A26F9F">
        <w:rPr>
          <w:rFonts w:ascii="Times New Roman" w:hAnsi="Times New Roman"/>
          <w:bCs/>
          <w:sz w:val="24"/>
        </w:rPr>
        <w:t>J stating simply that ‘“intent to commit an offence” connotes an intent to commit all elements of the offence.’</w:t>
      </w:r>
      <w:r w:rsidRPr="00A26F9F">
        <w:rPr>
          <w:rFonts w:ascii="Times New Roman" w:hAnsi="Times New Roman"/>
          <w:bCs/>
          <w:sz w:val="24"/>
          <w:vertAlign w:val="superscript"/>
        </w:rPr>
        <w:footnoteReference w:id="5"/>
      </w:r>
      <w:r w:rsidRPr="00A26F9F">
        <w:rPr>
          <w:rFonts w:ascii="Times New Roman" w:hAnsi="Times New Roman"/>
          <w:bCs/>
          <w:sz w:val="24"/>
        </w:rPr>
        <w:t xml:space="preserve"> </w:t>
      </w:r>
    </w:p>
    <w:p w:rsidR="00A26F9F" w:rsidRPr="00A26F9F" w:rsidRDefault="00A26F9F" w:rsidP="00A26F9F">
      <w:pPr>
        <w:spacing w:line="360" w:lineRule="auto"/>
        <w:jc w:val="both"/>
        <w:rPr>
          <w:rFonts w:ascii="Times New Roman" w:hAnsi="Times New Roman"/>
          <w:bCs/>
          <w:sz w:val="24"/>
        </w:rPr>
      </w:pPr>
      <w:r w:rsidRPr="00A26F9F">
        <w:rPr>
          <w:rFonts w:ascii="Times New Roman" w:hAnsi="Times New Roman"/>
          <w:sz w:val="24"/>
        </w:rPr>
        <w:t>Pace and Rogers worked at a scrap-metal yard. They were approached by undercover police officers and asked if they were interested in</w:t>
      </w:r>
      <w:bookmarkStart w:id="0" w:name="_GoBack"/>
      <w:bookmarkEnd w:id="0"/>
      <w:r w:rsidRPr="00A26F9F">
        <w:rPr>
          <w:rFonts w:ascii="Times New Roman" w:hAnsi="Times New Roman"/>
          <w:sz w:val="24"/>
        </w:rPr>
        <w:t xml:space="preserve"> buying stolen scrap metal. ‘Suspicious’ as to the criminal origin of the metal, the appellants nevertheless accepted the goods and were charged with </w:t>
      </w:r>
      <w:r w:rsidRPr="00A26F9F">
        <w:rPr>
          <w:rFonts w:ascii="Times New Roman" w:hAnsi="Times New Roman"/>
          <w:bCs/>
          <w:sz w:val="24"/>
        </w:rPr>
        <w:t>attempting to conceal, disguise or convert criminal property</w:t>
      </w:r>
      <w:r w:rsidRPr="00A26F9F">
        <w:rPr>
          <w:rFonts w:ascii="Times New Roman" w:hAnsi="Times New Roman"/>
          <w:sz w:val="24"/>
        </w:rPr>
        <w:t>.</w:t>
      </w:r>
      <w:r w:rsidRPr="00A26F9F">
        <w:rPr>
          <w:rFonts w:ascii="Times New Roman" w:hAnsi="Times New Roman"/>
          <w:sz w:val="24"/>
          <w:vertAlign w:val="superscript"/>
        </w:rPr>
        <w:footnoteReference w:id="6"/>
      </w:r>
      <w:r w:rsidRPr="00A26F9F">
        <w:rPr>
          <w:rFonts w:ascii="Times New Roman" w:hAnsi="Times New Roman"/>
          <w:bCs/>
          <w:sz w:val="24"/>
        </w:rPr>
        <w:t xml:space="preserve"> </w:t>
      </w:r>
      <w:r w:rsidR="00B854F6">
        <w:rPr>
          <w:rFonts w:ascii="Times New Roman" w:hAnsi="Times New Roman"/>
          <w:bCs/>
          <w:sz w:val="24"/>
        </w:rPr>
        <w:t>However</w:t>
      </w:r>
      <w:r w:rsidRPr="00A26F9F">
        <w:rPr>
          <w:rFonts w:ascii="Times New Roman" w:hAnsi="Times New Roman"/>
          <w:bCs/>
          <w:sz w:val="24"/>
        </w:rPr>
        <w:t xml:space="preserve">, since </w:t>
      </w:r>
      <w:r w:rsidRPr="00A00C4F">
        <w:rPr>
          <w:rFonts w:ascii="Times New Roman" w:hAnsi="Times New Roman"/>
          <w:bCs/>
          <w:iCs/>
          <w:sz w:val="24"/>
        </w:rPr>
        <w:t>Pace and Rogers</w:t>
      </w:r>
      <w:r w:rsidRPr="00A26F9F">
        <w:rPr>
          <w:rFonts w:ascii="Times New Roman" w:hAnsi="Times New Roman"/>
          <w:bCs/>
          <w:sz w:val="24"/>
        </w:rPr>
        <w:t xml:space="preserve"> acted without intention or knowledge as to every element of the offence, their appeal against conviction for attempted concealment was allowed.</w:t>
      </w:r>
    </w:p>
    <w:p w:rsidR="00A26F9F" w:rsidRPr="00A26F9F" w:rsidRDefault="00A26F9F" w:rsidP="00A00C4F">
      <w:pPr>
        <w:spacing w:line="360" w:lineRule="auto"/>
        <w:jc w:val="both"/>
        <w:rPr>
          <w:rFonts w:ascii="Times New Roman" w:hAnsi="Times New Roman"/>
          <w:bCs/>
          <w:sz w:val="24"/>
        </w:rPr>
      </w:pPr>
      <w:r w:rsidRPr="00A26F9F">
        <w:rPr>
          <w:rFonts w:ascii="Times New Roman" w:hAnsi="Times New Roman"/>
          <w:bCs/>
          <w:sz w:val="24"/>
        </w:rPr>
        <w:t xml:space="preserve">In allowing the appeal the Court of Appeal rejected the decision of the court below which had relied on </w:t>
      </w:r>
      <w:r w:rsidRPr="00A26F9F">
        <w:rPr>
          <w:rFonts w:ascii="Times New Roman" w:hAnsi="Times New Roman"/>
          <w:bCs/>
          <w:i/>
          <w:sz w:val="24"/>
        </w:rPr>
        <w:t>Khan</w:t>
      </w:r>
      <w:r w:rsidRPr="00A26F9F">
        <w:rPr>
          <w:rFonts w:ascii="Times New Roman" w:hAnsi="Times New Roman"/>
          <w:bCs/>
          <w:sz w:val="24"/>
        </w:rPr>
        <w:t xml:space="preserve">. </w:t>
      </w:r>
      <w:r w:rsidRPr="00A26F9F">
        <w:rPr>
          <w:rFonts w:ascii="Times New Roman" w:hAnsi="Times New Roman"/>
          <w:bCs/>
          <w:i/>
          <w:sz w:val="24"/>
        </w:rPr>
        <w:t>Khan</w:t>
      </w:r>
      <w:r w:rsidRPr="00A26F9F">
        <w:rPr>
          <w:rFonts w:ascii="Times New Roman" w:hAnsi="Times New Roman"/>
          <w:bCs/>
          <w:sz w:val="24"/>
        </w:rPr>
        <w:t xml:space="preserve"> is said to be authority for the proposition </w:t>
      </w:r>
      <w:r w:rsidR="00A00C4F">
        <w:rPr>
          <w:rFonts w:ascii="Times New Roman" w:hAnsi="Times New Roman"/>
          <w:bCs/>
          <w:sz w:val="24"/>
        </w:rPr>
        <w:t>within</w:t>
      </w:r>
      <w:r w:rsidRPr="00A26F9F">
        <w:rPr>
          <w:rFonts w:ascii="Times New Roman" w:hAnsi="Times New Roman"/>
          <w:bCs/>
          <w:sz w:val="24"/>
        </w:rPr>
        <w:t xml:space="preserve"> criminal attempt liability </w:t>
      </w:r>
      <w:r w:rsidR="00A00C4F">
        <w:rPr>
          <w:rFonts w:ascii="Times New Roman" w:hAnsi="Times New Roman"/>
          <w:bCs/>
          <w:sz w:val="24"/>
        </w:rPr>
        <w:t>that</w:t>
      </w:r>
      <w:r w:rsidRPr="00A26F9F">
        <w:rPr>
          <w:rFonts w:ascii="Times New Roman" w:hAnsi="Times New Roman"/>
          <w:bCs/>
          <w:sz w:val="24"/>
        </w:rPr>
        <w:t xml:space="preserve"> an “intention to commit an offence” does </w:t>
      </w:r>
      <w:r w:rsidRPr="00A00C4F">
        <w:rPr>
          <w:rFonts w:ascii="Times New Roman" w:hAnsi="Times New Roman"/>
          <w:bCs/>
          <w:i/>
          <w:iCs/>
          <w:sz w:val="24"/>
        </w:rPr>
        <w:t>not</w:t>
      </w:r>
      <w:r w:rsidRPr="00A26F9F">
        <w:rPr>
          <w:rFonts w:ascii="Times New Roman" w:hAnsi="Times New Roman"/>
          <w:bCs/>
          <w:sz w:val="24"/>
        </w:rPr>
        <w:t xml:space="preserve"> mean an intention to commit </w:t>
      </w:r>
      <w:r w:rsidRPr="00A26F9F">
        <w:rPr>
          <w:rFonts w:ascii="Times New Roman" w:hAnsi="Times New Roman"/>
          <w:bCs/>
          <w:i/>
          <w:sz w:val="24"/>
        </w:rPr>
        <w:t xml:space="preserve">every </w:t>
      </w:r>
      <w:r w:rsidRPr="00A26F9F">
        <w:rPr>
          <w:rFonts w:ascii="Times New Roman" w:hAnsi="Times New Roman"/>
          <w:bCs/>
          <w:sz w:val="24"/>
        </w:rPr>
        <w:t xml:space="preserve">element of the principal offence. </w:t>
      </w:r>
      <w:r w:rsidR="00A00C4F">
        <w:rPr>
          <w:rFonts w:ascii="Times New Roman" w:hAnsi="Times New Roman"/>
          <w:bCs/>
          <w:sz w:val="24"/>
        </w:rPr>
        <w:t>A</w:t>
      </w:r>
      <w:r w:rsidRPr="00A26F9F">
        <w:rPr>
          <w:rFonts w:ascii="Times New Roman" w:hAnsi="Times New Roman"/>
          <w:bCs/>
          <w:sz w:val="24"/>
        </w:rPr>
        <w:t xml:space="preserve">ccording to </w:t>
      </w:r>
      <w:r w:rsidRPr="00A26F9F">
        <w:rPr>
          <w:rFonts w:ascii="Times New Roman" w:hAnsi="Times New Roman"/>
          <w:bCs/>
          <w:i/>
          <w:sz w:val="24"/>
        </w:rPr>
        <w:t>Khan</w:t>
      </w:r>
      <w:r w:rsidRPr="00A26F9F">
        <w:rPr>
          <w:rFonts w:ascii="Times New Roman" w:hAnsi="Times New Roman"/>
          <w:bCs/>
          <w:sz w:val="24"/>
        </w:rPr>
        <w:t xml:space="preserve">, persons who </w:t>
      </w:r>
      <w:r w:rsidR="00A00C4F">
        <w:rPr>
          <w:rFonts w:ascii="Times New Roman" w:hAnsi="Times New Roman"/>
          <w:bCs/>
          <w:sz w:val="24"/>
        </w:rPr>
        <w:t>act with</w:t>
      </w:r>
      <w:r w:rsidRPr="00A26F9F">
        <w:rPr>
          <w:rFonts w:ascii="Times New Roman" w:hAnsi="Times New Roman"/>
          <w:bCs/>
          <w:sz w:val="24"/>
        </w:rPr>
        <w:t xml:space="preserve"> a mens rea less than intention </w:t>
      </w:r>
      <w:r w:rsidR="00A00C4F">
        <w:rPr>
          <w:rFonts w:ascii="Times New Roman" w:hAnsi="Times New Roman"/>
          <w:bCs/>
          <w:sz w:val="24"/>
        </w:rPr>
        <w:t>as to</w:t>
      </w:r>
      <w:r w:rsidRPr="00A26F9F">
        <w:rPr>
          <w:rFonts w:ascii="Times New Roman" w:hAnsi="Times New Roman"/>
          <w:bCs/>
          <w:sz w:val="24"/>
        </w:rPr>
        <w:t xml:space="preserve"> a circumstance element of the</w:t>
      </w:r>
      <w:r w:rsidR="00A00C4F">
        <w:rPr>
          <w:rFonts w:ascii="Times New Roman" w:hAnsi="Times New Roman"/>
          <w:bCs/>
          <w:sz w:val="24"/>
        </w:rPr>
        <w:t xml:space="preserve"> principal</w:t>
      </w:r>
      <w:r w:rsidRPr="00A26F9F">
        <w:rPr>
          <w:rFonts w:ascii="Times New Roman" w:hAnsi="Times New Roman"/>
          <w:bCs/>
          <w:sz w:val="24"/>
        </w:rPr>
        <w:t xml:space="preserve"> offence are potentially guilty of attempt so long as they intended the conduct and consequence elements. Applying </w:t>
      </w:r>
      <w:r w:rsidRPr="00A26F9F">
        <w:rPr>
          <w:rFonts w:ascii="Times New Roman" w:hAnsi="Times New Roman"/>
          <w:bCs/>
          <w:i/>
          <w:sz w:val="24"/>
        </w:rPr>
        <w:t>Khan</w:t>
      </w:r>
      <w:r w:rsidRPr="00A26F9F">
        <w:rPr>
          <w:rFonts w:ascii="Times New Roman" w:hAnsi="Times New Roman"/>
          <w:bCs/>
          <w:sz w:val="24"/>
        </w:rPr>
        <w:t xml:space="preserve">, the Crown Court had proceeded in </w:t>
      </w:r>
      <w:r w:rsidRPr="00A26F9F">
        <w:rPr>
          <w:rFonts w:ascii="Times New Roman" w:hAnsi="Times New Roman"/>
          <w:bCs/>
          <w:i/>
          <w:sz w:val="24"/>
        </w:rPr>
        <w:t>Pace and Rogers</w:t>
      </w:r>
      <w:r w:rsidRPr="00A26F9F">
        <w:rPr>
          <w:rFonts w:ascii="Times New Roman" w:hAnsi="Times New Roman"/>
          <w:bCs/>
          <w:sz w:val="24"/>
        </w:rPr>
        <w:t xml:space="preserve"> to convict the defendants of attempting to </w:t>
      </w:r>
      <w:r w:rsidRPr="00A26F9F">
        <w:rPr>
          <w:rFonts w:ascii="Times New Roman" w:hAnsi="Times New Roman"/>
          <w:bCs/>
          <w:sz w:val="24"/>
        </w:rPr>
        <w:lastRenderedPageBreak/>
        <w:t>conceal the property, even though they only “suspected” the property to be stolen</w:t>
      </w:r>
      <w:r w:rsidR="00A00C4F">
        <w:rPr>
          <w:rFonts w:ascii="Times New Roman" w:hAnsi="Times New Roman"/>
          <w:bCs/>
          <w:sz w:val="24"/>
        </w:rPr>
        <w:t xml:space="preserve"> (circumstance element)</w:t>
      </w:r>
      <w:r w:rsidRPr="00A26F9F">
        <w:rPr>
          <w:rFonts w:ascii="Times New Roman" w:hAnsi="Times New Roman"/>
          <w:bCs/>
          <w:sz w:val="24"/>
        </w:rPr>
        <w:t xml:space="preserve">, as this was sufficient mens rea for the principal offence. </w:t>
      </w:r>
      <w:r w:rsidR="00A00C4F">
        <w:rPr>
          <w:rFonts w:ascii="Times New Roman" w:hAnsi="Times New Roman"/>
          <w:bCs/>
          <w:sz w:val="24"/>
        </w:rPr>
        <w:t xml:space="preserve">In reality, of course, the property was not stolen: this was an impossible attempt. </w:t>
      </w:r>
    </w:p>
    <w:p w:rsidR="00A26F9F" w:rsidRDefault="00A26F9F" w:rsidP="00A00C4F">
      <w:pPr>
        <w:spacing w:line="360" w:lineRule="auto"/>
        <w:jc w:val="both"/>
        <w:rPr>
          <w:rFonts w:ascii="Times New Roman" w:hAnsi="Times New Roman"/>
          <w:bCs/>
          <w:sz w:val="24"/>
        </w:rPr>
      </w:pPr>
      <w:r w:rsidRPr="00A26F9F">
        <w:rPr>
          <w:rFonts w:ascii="Times New Roman" w:hAnsi="Times New Roman"/>
          <w:bCs/>
          <w:sz w:val="24"/>
        </w:rPr>
        <w:t xml:space="preserve">In this article we examine the options the Supreme Court may have if, as seems likely, it has to decide on an appeal against the Court of Appeal’s decision. They could disagree with the Court of Appeal and </w:t>
      </w:r>
      <w:r w:rsidRPr="00A26F9F">
        <w:rPr>
          <w:rFonts w:ascii="Times New Roman" w:hAnsi="Times New Roman"/>
          <w:sz w:val="24"/>
        </w:rPr>
        <w:t xml:space="preserve">generalise the </w:t>
      </w:r>
      <w:r w:rsidRPr="00A26F9F">
        <w:rPr>
          <w:rFonts w:ascii="Times New Roman" w:hAnsi="Times New Roman"/>
          <w:i/>
          <w:iCs/>
          <w:sz w:val="24"/>
        </w:rPr>
        <w:t xml:space="preserve">Khan </w:t>
      </w:r>
      <w:r w:rsidRPr="00A26F9F">
        <w:rPr>
          <w:rFonts w:ascii="Times New Roman" w:hAnsi="Times New Roman"/>
          <w:sz w:val="24"/>
        </w:rPr>
        <w:t>appro</w:t>
      </w:r>
      <w:r w:rsidR="00A00C4F">
        <w:rPr>
          <w:rFonts w:ascii="Times New Roman" w:hAnsi="Times New Roman"/>
          <w:sz w:val="24"/>
        </w:rPr>
        <w:t xml:space="preserve">ach to cover impossible attempt cases such as </w:t>
      </w:r>
      <w:r w:rsidR="00A00C4F">
        <w:rPr>
          <w:rFonts w:ascii="Times New Roman" w:hAnsi="Times New Roman"/>
          <w:i/>
          <w:iCs/>
          <w:sz w:val="24"/>
        </w:rPr>
        <w:t>Pace and Rogers</w:t>
      </w:r>
      <w:r w:rsidRPr="00A26F9F">
        <w:rPr>
          <w:rFonts w:ascii="Times New Roman" w:hAnsi="Times New Roman"/>
          <w:sz w:val="24"/>
        </w:rPr>
        <w:t>. Alternatively, they might approve of generalising the</w:t>
      </w:r>
      <w:r w:rsidR="00A00C4F">
        <w:rPr>
          <w:rFonts w:ascii="Times New Roman" w:hAnsi="Times New Roman"/>
          <w:sz w:val="24"/>
        </w:rPr>
        <w:t xml:space="preserve"> Court of Appeal’s approach in</w:t>
      </w:r>
      <w:r w:rsidRPr="00A26F9F">
        <w:rPr>
          <w:rFonts w:ascii="Times New Roman" w:hAnsi="Times New Roman"/>
          <w:sz w:val="24"/>
        </w:rPr>
        <w:t xml:space="preserve"> </w:t>
      </w:r>
      <w:r w:rsidRPr="00A26F9F">
        <w:rPr>
          <w:rFonts w:ascii="Times New Roman" w:hAnsi="Times New Roman"/>
          <w:i/>
          <w:iCs/>
          <w:sz w:val="24"/>
        </w:rPr>
        <w:t>Pace and Rogers</w:t>
      </w:r>
      <w:r w:rsidRPr="00A26F9F">
        <w:rPr>
          <w:rFonts w:ascii="Times New Roman" w:hAnsi="Times New Roman"/>
          <w:sz w:val="24"/>
        </w:rPr>
        <w:t xml:space="preserve"> to cover possible attempts</w:t>
      </w:r>
      <w:r w:rsidR="00A00C4F">
        <w:rPr>
          <w:rFonts w:ascii="Times New Roman" w:hAnsi="Times New Roman"/>
          <w:sz w:val="24"/>
        </w:rPr>
        <w:t>,</w:t>
      </w:r>
      <w:r w:rsidRPr="00A26F9F">
        <w:rPr>
          <w:rFonts w:ascii="Times New Roman" w:hAnsi="Times New Roman"/>
          <w:sz w:val="24"/>
        </w:rPr>
        <w:t xml:space="preserve"> thereby overruling </w:t>
      </w:r>
      <w:r w:rsidRPr="00A26F9F">
        <w:rPr>
          <w:rFonts w:ascii="Times New Roman" w:hAnsi="Times New Roman"/>
          <w:i/>
          <w:sz w:val="24"/>
        </w:rPr>
        <w:t>Khan</w:t>
      </w:r>
      <w:r w:rsidRPr="00A26F9F">
        <w:rPr>
          <w:rFonts w:ascii="Times New Roman" w:hAnsi="Times New Roman"/>
          <w:sz w:val="24"/>
        </w:rPr>
        <w:t xml:space="preserve">. Or they may simply </w:t>
      </w:r>
      <w:r w:rsidRPr="00A26F9F">
        <w:rPr>
          <w:rFonts w:ascii="Times New Roman" w:hAnsi="Times New Roman"/>
          <w:bCs/>
          <w:sz w:val="24"/>
        </w:rPr>
        <w:t xml:space="preserve">decide that </w:t>
      </w:r>
      <w:r w:rsidRPr="00A26F9F">
        <w:rPr>
          <w:rFonts w:ascii="Times New Roman" w:hAnsi="Times New Roman"/>
          <w:bCs/>
          <w:i/>
          <w:sz w:val="24"/>
        </w:rPr>
        <w:t>Pace and Rogers</w:t>
      </w:r>
      <w:r w:rsidRPr="00A26F9F">
        <w:rPr>
          <w:rFonts w:ascii="Times New Roman" w:hAnsi="Times New Roman"/>
          <w:bCs/>
          <w:sz w:val="24"/>
        </w:rPr>
        <w:t xml:space="preserve"> is distinguishable from </w:t>
      </w:r>
      <w:r w:rsidRPr="00A26F9F">
        <w:rPr>
          <w:rFonts w:ascii="Times New Roman" w:hAnsi="Times New Roman"/>
          <w:bCs/>
          <w:i/>
          <w:sz w:val="24"/>
        </w:rPr>
        <w:t>Khan</w:t>
      </w:r>
      <w:r w:rsidRPr="00A26F9F">
        <w:rPr>
          <w:rFonts w:ascii="Times New Roman" w:hAnsi="Times New Roman"/>
          <w:bCs/>
          <w:sz w:val="24"/>
        </w:rPr>
        <w:t xml:space="preserve">, allowing the co-existence of the two approaches. We argue below that in the absence of legislative reform, </w:t>
      </w:r>
      <w:r w:rsidRPr="00A26F9F">
        <w:rPr>
          <w:rFonts w:ascii="Times New Roman" w:hAnsi="Times New Roman"/>
          <w:bCs/>
          <w:i/>
          <w:sz w:val="24"/>
        </w:rPr>
        <w:t>Khan</w:t>
      </w:r>
      <w:r w:rsidRPr="00A26F9F">
        <w:rPr>
          <w:rFonts w:ascii="Times New Roman" w:hAnsi="Times New Roman"/>
          <w:bCs/>
          <w:sz w:val="24"/>
        </w:rPr>
        <w:t xml:space="preserve"> should be overruled, and the simple, principled approach outlined by Davis J in </w:t>
      </w:r>
      <w:r w:rsidRPr="00A26F9F">
        <w:rPr>
          <w:rFonts w:ascii="Times New Roman" w:hAnsi="Times New Roman"/>
          <w:bCs/>
          <w:i/>
          <w:sz w:val="24"/>
        </w:rPr>
        <w:t>Pace and Rogers</w:t>
      </w:r>
      <w:r w:rsidRPr="00A26F9F">
        <w:rPr>
          <w:rFonts w:ascii="Times New Roman" w:hAnsi="Times New Roman"/>
          <w:bCs/>
          <w:sz w:val="24"/>
        </w:rPr>
        <w:t xml:space="preserve"> </w:t>
      </w:r>
      <w:r w:rsidR="00A00C4F">
        <w:rPr>
          <w:rFonts w:ascii="Times New Roman" w:hAnsi="Times New Roman"/>
          <w:bCs/>
          <w:sz w:val="24"/>
        </w:rPr>
        <w:t>should</w:t>
      </w:r>
      <w:r w:rsidRPr="00A26F9F">
        <w:rPr>
          <w:rFonts w:ascii="Times New Roman" w:hAnsi="Times New Roman"/>
          <w:bCs/>
          <w:sz w:val="24"/>
        </w:rPr>
        <w:t xml:space="preserve"> be preferred.</w:t>
      </w:r>
    </w:p>
    <w:p w:rsidR="00A00C4F" w:rsidRPr="00A26F9F" w:rsidRDefault="00A00C4F" w:rsidP="00A00C4F">
      <w:pPr>
        <w:spacing w:line="360" w:lineRule="auto"/>
        <w:jc w:val="both"/>
        <w:rPr>
          <w:rFonts w:ascii="Times New Roman" w:hAnsi="Times New Roman"/>
          <w:sz w:val="24"/>
        </w:rPr>
      </w:pPr>
    </w:p>
    <w:p w:rsidR="00A26F9F" w:rsidRPr="00A26F9F" w:rsidRDefault="00A26F9F" w:rsidP="00A26F9F">
      <w:pPr>
        <w:spacing w:line="360" w:lineRule="auto"/>
        <w:jc w:val="both"/>
        <w:rPr>
          <w:rFonts w:ascii="Times New Roman" w:hAnsi="Times New Roman"/>
          <w:b/>
          <w:sz w:val="24"/>
        </w:rPr>
      </w:pPr>
      <w:r w:rsidRPr="00A26F9F">
        <w:rPr>
          <w:rFonts w:ascii="Times New Roman" w:hAnsi="Times New Roman"/>
          <w:b/>
          <w:i/>
          <w:iCs/>
          <w:sz w:val="24"/>
        </w:rPr>
        <w:t>Pace and Rogers</w:t>
      </w:r>
      <w:r w:rsidRPr="00A26F9F">
        <w:rPr>
          <w:rFonts w:ascii="Times New Roman" w:hAnsi="Times New Roman"/>
          <w:b/>
          <w:sz w:val="24"/>
        </w:rPr>
        <w:t xml:space="preserve"> in historical context</w:t>
      </w:r>
    </w:p>
    <w:p w:rsidR="00A26F9F" w:rsidRPr="00A26F9F" w:rsidRDefault="00A26F9F" w:rsidP="00A26F9F">
      <w:pPr>
        <w:spacing w:line="360" w:lineRule="auto"/>
        <w:jc w:val="both"/>
        <w:rPr>
          <w:rFonts w:ascii="Times New Roman" w:hAnsi="Times New Roman"/>
          <w:bCs/>
          <w:sz w:val="24"/>
        </w:rPr>
      </w:pPr>
      <w:r w:rsidRPr="00A26F9F">
        <w:rPr>
          <w:rFonts w:ascii="Times New Roman" w:hAnsi="Times New Roman"/>
          <w:bCs/>
          <w:sz w:val="24"/>
        </w:rPr>
        <w:t xml:space="preserve">In debates leading to the creation of the CAA, two major policy considerations dominated discussions about mens rea: whether D could be liable for an impossible attempt; and whether attempt should ever be available where D did not intend or know certain offence elements (particularly offence ‘circumstances’). As discrete </w:t>
      </w:r>
      <w:r w:rsidR="00A00C4F" w:rsidRPr="00A26F9F">
        <w:rPr>
          <w:rFonts w:ascii="Times New Roman" w:hAnsi="Times New Roman"/>
          <w:bCs/>
          <w:sz w:val="24"/>
        </w:rPr>
        <w:t>issues there</w:t>
      </w:r>
      <w:r w:rsidRPr="00A26F9F">
        <w:rPr>
          <w:rFonts w:ascii="Times New Roman" w:hAnsi="Times New Roman"/>
          <w:bCs/>
          <w:sz w:val="24"/>
        </w:rPr>
        <w:t xml:space="preserve"> appears to be merit in facilitating both. For example, if D tries (but fails) to sexually penetrate a non-consenting V, it is appealing to hold that D has attempted rape where he intends sexual penetration and is reckless as to non-consent (lacks intention as to the circumstance of non-consent).</w:t>
      </w:r>
      <w:r w:rsidRPr="00A26F9F">
        <w:rPr>
          <w:rFonts w:ascii="Times New Roman" w:hAnsi="Times New Roman"/>
          <w:bCs/>
          <w:sz w:val="24"/>
          <w:vertAlign w:val="superscript"/>
        </w:rPr>
        <w:footnoteReference w:id="7"/>
      </w:r>
      <w:r w:rsidRPr="00A26F9F">
        <w:rPr>
          <w:rFonts w:ascii="Times New Roman" w:hAnsi="Times New Roman"/>
          <w:bCs/>
          <w:sz w:val="24"/>
        </w:rPr>
        <w:t xml:space="preserve"> Equally, where D tries to shoot and kill V, it is surely right to convict D for attempted murder, even if (unknown to D) his gun does not contain bullets (his offence is impossible).</w:t>
      </w:r>
      <w:r w:rsidRPr="00A26F9F">
        <w:rPr>
          <w:rFonts w:ascii="Times New Roman" w:hAnsi="Times New Roman"/>
          <w:bCs/>
          <w:sz w:val="24"/>
          <w:vertAlign w:val="superscript"/>
        </w:rPr>
        <w:footnoteReference w:id="8"/>
      </w:r>
      <w:r w:rsidRPr="00A26F9F">
        <w:rPr>
          <w:rFonts w:ascii="Times New Roman" w:hAnsi="Times New Roman"/>
          <w:bCs/>
          <w:sz w:val="24"/>
        </w:rPr>
        <w:t xml:space="preserve"> However, when </w:t>
      </w:r>
      <w:r w:rsidR="00B25ACE">
        <w:rPr>
          <w:rFonts w:ascii="Times New Roman" w:hAnsi="Times New Roman"/>
          <w:bCs/>
          <w:sz w:val="24"/>
        </w:rPr>
        <w:t xml:space="preserve">impossibility and mens rea less than intention are </w:t>
      </w:r>
      <w:r w:rsidRPr="00A26F9F">
        <w:rPr>
          <w:rFonts w:ascii="Times New Roman" w:hAnsi="Times New Roman"/>
          <w:bCs/>
          <w:sz w:val="24"/>
        </w:rPr>
        <w:t>combined, the logic of liability is far less convincing. Williams provides a useful example regarding the old offence of obtaining property by deception.</w:t>
      </w:r>
      <w:r w:rsidRPr="00A26F9F">
        <w:rPr>
          <w:rFonts w:ascii="Times New Roman" w:hAnsi="Times New Roman"/>
          <w:bCs/>
          <w:sz w:val="24"/>
          <w:vertAlign w:val="superscript"/>
        </w:rPr>
        <w:footnoteReference w:id="9"/>
      </w:r>
      <w:r w:rsidRPr="00A26F9F">
        <w:rPr>
          <w:rFonts w:ascii="Times New Roman" w:hAnsi="Times New Roman"/>
          <w:bCs/>
          <w:sz w:val="24"/>
        </w:rPr>
        <w:t xml:space="preserve"> D offers property for sale, and makes a statement that he thinks might be untrue. The sale is completed, and D then discovers that the statement was true. If the statement had been untrue D may have been liable for obtaining money by deception, but surely he should not be liable for attempt on the facts: he did not intend his statement to be </w:t>
      </w:r>
      <w:r w:rsidRPr="00A26F9F">
        <w:rPr>
          <w:rFonts w:ascii="Times New Roman" w:hAnsi="Times New Roman"/>
          <w:bCs/>
          <w:sz w:val="24"/>
        </w:rPr>
        <w:lastRenderedPageBreak/>
        <w:t>false (he was merely reckless as to the circumstance); and it was not false (his offence was impossible).</w:t>
      </w:r>
      <w:r w:rsidRPr="00A26F9F">
        <w:rPr>
          <w:rFonts w:ascii="Times New Roman" w:hAnsi="Times New Roman"/>
          <w:bCs/>
          <w:sz w:val="24"/>
          <w:vertAlign w:val="superscript"/>
        </w:rPr>
        <w:footnoteReference w:id="10"/>
      </w:r>
      <w:r w:rsidRPr="00A26F9F">
        <w:rPr>
          <w:rFonts w:ascii="Times New Roman" w:hAnsi="Times New Roman"/>
          <w:bCs/>
          <w:sz w:val="24"/>
        </w:rPr>
        <w:t xml:space="preserve"> </w:t>
      </w:r>
    </w:p>
    <w:p w:rsidR="00A26F9F" w:rsidRPr="00A26F9F" w:rsidRDefault="00A26F9F" w:rsidP="00A26F9F">
      <w:pPr>
        <w:spacing w:line="360" w:lineRule="auto"/>
        <w:jc w:val="both"/>
        <w:rPr>
          <w:rFonts w:ascii="Times New Roman" w:hAnsi="Times New Roman"/>
          <w:bCs/>
          <w:sz w:val="24"/>
        </w:rPr>
      </w:pPr>
      <w:r w:rsidRPr="00A26F9F">
        <w:rPr>
          <w:rFonts w:ascii="Times New Roman" w:hAnsi="Times New Roman"/>
          <w:bCs/>
          <w:sz w:val="24"/>
        </w:rPr>
        <w:t>The potential combination of ‘mens rea less than intention’ and ‘impossibility’ was highlighted in scholarly work preceding the CAA, with the Law Commission and others switching inconsistently on the one hand, between a rejection of any mens rea less than intention on this basis,</w:t>
      </w:r>
      <w:r w:rsidRPr="00A26F9F">
        <w:rPr>
          <w:rFonts w:ascii="Times New Roman" w:hAnsi="Times New Roman"/>
          <w:bCs/>
          <w:sz w:val="24"/>
          <w:vertAlign w:val="superscript"/>
        </w:rPr>
        <w:footnoteReference w:id="11"/>
      </w:r>
      <w:r w:rsidRPr="00A26F9F">
        <w:rPr>
          <w:rFonts w:ascii="Times New Roman" w:hAnsi="Times New Roman"/>
          <w:bCs/>
          <w:sz w:val="24"/>
        </w:rPr>
        <w:t xml:space="preserve"> and, on the other, its acceptance in hope that prosecutions would avoid cases where there was a combination with impossibility.</w:t>
      </w:r>
      <w:r w:rsidRPr="00A26F9F">
        <w:rPr>
          <w:rFonts w:ascii="Times New Roman" w:hAnsi="Times New Roman"/>
          <w:bCs/>
          <w:sz w:val="24"/>
          <w:vertAlign w:val="superscript"/>
        </w:rPr>
        <w:footnoteReference w:id="12"/>
      </w:r>
      <w:r w:rsidR="00817269">
        <w:rPr>
          <w:rFonts w:ascii="Times New Roman" w:hAnsi="Times New Roman"/>
          <w:bCs/>
          <w:sz w:val="24"/>
        </w:rPr>
        <w:t xml:space="preserve"> The CAA</w:t>
      </w:r>
      <w:r w:rsidRPr="00A26F9F">
        <w:rPr>
          <w:rFonts w:ascii="Times New Roman" w:hAnsi="Times New Roman"/>
          <w:bCs/>
          <w:sz w:val="24"/>
        </w:rPr>
        <w:t xml:space="preserve"> as enacted</w:t>
      </w:r>
      <w:r w:rsidRPr="00A26F9F">
        <w:rPr>
          <w:rFonts w:ascii="Times New Roman" w:hAnsi="Times New Roman"/>
          <w:bCs/>
          <w:sz w:val="24"/>
          <w:vertAlign w:val="superscript"/>
        </w:rPr>
        <w:footnoteReference w:id="13"/>
      </w:r>
      <w:r w:rsidRPr="00A26F9F">
        <w:rPr>
          <w:rFonts w:ascii="Times New Roman" w:hAnsi="Times New Roman"/>
          <w:bCs/>
          <w:sz w:val="24"/>
        </w:rPr>
        <w:t xml:space="preserve"> opted for the former approach: rejecting any mens rea less than intention in order to avoid its possible combination with impossibility.</w:t>
      </w:r>
      <w:r w:rsidRPr="00A26F9F">
        <w:rPr>
          <w:rFonts w:ascii="Times New Roman" w:hAnsi="Times New Roman"/>
          <w:bCs/>
          <w:sz w:val="24"/>
          <w:vertAlign w:val="superscript"/>
        </w:rPr>
        <w:footnoteReference w:id="14"/>
      </w:r>
      <w:r w:rsidRPr="00A26F9F">
        <w:rPr>
          <w:rFonts w:ascii="Times New Roman" w:hAnsi="Times New Roman"/>
          <w:bCs/>
          <w:sz w:val="24"/>
        </w:rPr>
        <w:t xml:space="preserve"> However, unlike with the drafting of conspiracy,</w:t>
      </w:r>
      <w:r w:rsidRPr="00A26F9F">
        <w:rPr>
          <w:rFonts w:ascii="Times New Roman" w:hAnsi="Times New Roman"/>
          <w:bCs/>
          <w:sz w:val="24"/>
          <w:vertAlign w:val="superscript"/>
        </w:rPr>
        <w:footnoteReference w:id="15"/>
      </w:r>
      <w:r w:rsidR="00817269">
        <w:rPr>
          <w:rFonts w:ascii="Times New Roman" w:hAnsi="Times New Roman"/>
          <w:bCs/>
          <w:sz w:val="24"/>
        </w:rPr>
        <w:t xml:space="preserve"> the CAA</w:t>
      </w:r>
      <w:r w:rsidRPr="00A26F9F">
        <w:rPr>
          <w:rFonts w:ascii="Times New Roman" w:hAnsi="Times New Roman"/>
          <w:bCs/>
          <w:sz w:val="24"/>
        </w:rPr>
        <w:t xml:space="preserve"> does not expressly state that attempt liability requires intention or knowledge as to </w:t>
      </w:r>
      <w:r w:rsidRPr="00A26F9F">
        <w:rPr>
          <w:rFonts w:ascii="Times New Roman" w:hAnsi="Times New Roman"/>
          <w:bCs/>
          <w:i/>
          <w:iCs/>
          <w:sz w:val="24"/>
        </w:rPr>
        <w:t>every element</w:t>
      </w:r>
      <w:r w:rsidRPr="00A26F9F">
        <w:rPr>
          <w:rFonts w:ascii="Times New Roman" w:hAnsi="Times New Roman"/>
          <w:bCs/>
          <w:sz w:val="24"/>
        </w:rPr>
        <w:t xml:space="preserve"> of a principal offence. Thus, as academic focus drifted away from the possible combination with impossibility, the debate changed to focus on the potential acceptance of mens rea less than intention alone (specifically the possibility of recklessness as to circumstances). This resulted in </w:t>
      </w:r>
      <w:r w:rsidRPr="00A26F9F">
        <w:rPr>
          <w:rFonts w:ascii="Times New Roman" w:hAnsi="Times New Roman"/>
          <w:bCs/>
          <w:i/>
          <w:iCs/>
          <w:sz w:val="24"/>
        </w:rPr>
        <w:t>Khan</w:t>
      </w:r>
      <w:r w:rsidRPr="00A26F9F">
        <w:rPr>
          <w:rFonts w:ascii="Times New Roman" w:hAnsi="Times New Roman"/>
          <w:bCs/>
          <w:sz w:val="24"/>
        </w:rPr>
        <w:t>, where the Court of Appeal (without discussing impossibility) accepted that the CAA could be interpreted to allow for reckless</w:t>
      </w:r>
      <w:r w:rsidR="004809FB">
        <w:rPr>
          <w:rFonts w:ascii="Times New Roman" w:hAnsi="Times New Roman"/>
          <w:bCs/>
          <w:sz w:val="24"/>
        </w:rPr>
        <w:t>ness</w:t>
      </w:r>
      <w:r w:rsidRPr="00A26F9F">
        <w:rPr>
          <w:rFonts w:ascii="Times New Roman" w:hAnsi="Times New Roman"/>
          <w:bCs/>
          <w:sz w:val="24"/>
        </w:rPr>
        <w:t xml:space="preserve"> as to circumstances. Perhaps more surprising, it has also resulted in the Law Commission recently recommending that the approach in </w:t>
      </w:r>
      <w:r w:rsidRPr="00A26F9F">
        <w:rPr>
          <w:rFonts w:ascii="Times New Roman" w:hAnsi="Times New Roman"/>
          <w:bCs/>
          <w:i/>
          <w:iCs/>
          <w:sz w:val="24"/>
        </w:rPr>
        <w:t>Khan</w:t>
      </w:r>
      <w:r w:rsidRPr="00A26F9F">
        <w:rPr>
          <w:rFonts w:ascii="Times New Roman" w:hAnsi="Times New Roman"/>
          <w:bCs/>
          <w:sz w:val="24"/>
        </w:rPr>
        <w:t xml:space="preserve"> should be codified across the law of attempts and conspiracy (again, without explicit recognition of its potential combination with impossibility).</w:t>
      </w:r>
      <w:r w:rsidRPr="00A26F9F">
        <w:rPr>
          <w:rFonts w:ascii="Times New Roman" w:hAnsi="Times New Roman"/>
          <w:bCs/>
          <w:sz w:val="24"/>
          <w:vertAlign w:val="superscript"/>
        </w:rPr>
        <w:footnoteReference w:id="16"/>
      </w:r>
      <w:r w:rsidRPr="00A26F9F">
        <w:rPr>
          <w:rFonts w:ascii="Times New Roman" w:hAnsi="Times New Roman"/>
          <w:bCs/>
          <w:sz w:val="24"/>
        </w:rPr>
        <w:t xml:space="preserve">            </w:t>
      </w:r>
    </w:p>
    <w:p w:rsidR="00A26F9F" w:rsidRDefault="00A26F9F" w:rsidP="00A26F9F">
      <w:pPr>
        <w:spacing w:line="360" w:lineRule="auto"/>
        <w:jc w:val="both"/>
        <w:rPr>
          <w:rFonts w:ascii="Times New Roman" w:hAnsi="Times New Roman"/>
          <w:sz w:val="24"/>
        </w:rPr>
      </w:pPr>
      <w:r w:rsidRPr="00A26F9F">
        <w:rPr>
          <w:rFonts w:ascii="Times New Roman" w:hAnsi="Times New Roman"/>
          <w:bCs/>
          <w:sz w:val="24"/>
        </w:rPr>
        <w:t xml:space="preserve">It is against this background that the Court of Appeal was confronted with </w:t>
      </w:r>
      <w:r w:rsidRPr="00A26F9F">
        <w:rPr>
          <w:rFonts w:ascii="Times New Roman" w:hAnsi="Times New Roman"/>
          <w:bCs/>
          <w:i/>
          <w:iCs/>
          <w:sz w:val="24"/>
        </w:rPr>
        <w:t>Pace and Rogers</w:t>
      </w:r>
      <w:r w:rsidRPr="00A26F9F">
        <w:rPr>
          <w:rFonts w:ascii="Times New Roman" w:hAnsi="Times New Roman"/>
          <w:bCs/>
          <w:sz w:val="24"/>
        </w:rPr>
        <w:t xml:space="preserve"> and that is why the facts of the case make it especially noteworthy. The case combines the two categories whose potential combination gave rise to such debate, since t</w:t>
      </w:r>
      <w:r w:rsidRPr="00A26F9F">
        <w:rPr>
          <w:rFonts w:ascii="Times New Roman" w:hAnsi="Times New Roman"/>
          <w:sz w:val="24"/>
        </w:rPr>
        <w:t xml:space="preserve">he defendants were convicted on the basis of an impossible attempt (the metal not being stolen property in fact) </w:t>
      </w:r>
      <w:r w:rsidRPr="00A26F9F">
        <w:rPr>
          <w:rFonts w:ascii="Times New Roman" w:hAnsi="Times New Roman"/>
          <w:i/>
          <w:iCs/>
          <w:sz w:val="24"/>
        </w:rPr>
        <w:t>combined</w:t>
      </w:r>
      <w:r w:rsidRPr="00A26F9F">
        <w:rPr>
          <w:rFonts w:ascii="Times New Roman" w:hAnsi="Times New Roman"/>
          <w:sz w:val="24"/>
        </w:rPr>
        <w:t xml:space="preserve"> with (following </w:t>
      </w:r>
      <w:r w:rsidRPr="00A26F9F">
        <w:rPr>
          <w:rFonts w:ascii="Times New Roman" w:hAnsi="Times New Roman"/>
          <w:i/>
          <w:iCs/>
          <w:sz w:val="24"/>
        </w:rPr>
        <w:t>Khan</w:t>
      </w:r>
      <w:r w:rsidRPr="00A26F9F">
        <w:rPr>
          <w:rFonts w:ascii="Times New Roman" w:hAnsi="Times New Roman"/>
          <w:sz w:val="24"/>
        </w:rPr>
        <w:t xml:space="preserve">) mere suspicion as to a circumstance element (the </w:t>
      </w:r>
      <w:r w:rsidRPr="00A26F9F">
        <w:rPr>
          <w:rFonts w:ascii="Times New Roman" w:hAnsi="Times New Roman"/>
          <w:sz w:val="24"/>
        </w:rPr>
        <w:lastRenderedPageBreak/>
        <w:t>criminal origin of the goods).</w:t>
      </w:r>
      <w:r w:rsidRPr="00A26F9F">
        <w:rPr>
          <w:rFonts w:ascii="Times New Roman" w:hAnsi="Times New Roman"/>
          <w:sz w:val="24"/>
          <w:vertAlign w:val="superscript"/>
        </w:rPr>
        <w:footnoteReference w:id="17"/>
      </w:r>
      <w:r w:rsidRPr="00A26F9F">
        <w:rPr>
          <w:rFonts w:ascii="Times New Roman" w:hAnsi="Times New Roman"/>
          <w:sz w:val="24"/>
        </w:rPr>
        <w:t xml:space="preserve"> Therefore, in considering an appeal in this case, the Supreme Court will find itself retracing the ground which led to the very particular formulation set out in section 1 of the CAA, whilst at the same time grappling with the consequences of the subsequent development in </w:t>
      </w:r>
      <w:r w:rsidRPr="00A26F9F">
        <w:rPr>
          <w:rFonts w:ascii="Times New Roman" w:hAnsi="Times New Roman"/>
          <w:i/>
          <w:sz w:val="24"/>
        </w:rPr>
        <w:t>Khan</w:t>
      </w:r>
      <w:r w:rsidRPr="00A26F9F">
        <w:rPr>
          <w:rFonts w:ascii="Times New Roman" w:hAnsi="Times New Roman"/>
          <w:sz w:val="24"/>
        </w:rPr>
        <w:t>.</w:t>
      </w:r>
    </w:p>
    <w:p w:rsidR="00A00C4F" w:rsidRPr="00A26F9F" w:rsidRDefault="00A00C4F" w:rsidP="00A26F9F">
      <w:pPr>
        <w:spacing w:line="360" w:lineRule="auto"/>
        <w:jc w:val="both"/>
        <w:rPr>
          <w:rFonts w:ascii="Times New Roman" w:hAnsi="Times New Roman"/>
          <w:sz w:val="24"/>
        </w:rPr>
      </w:pPr>
    </w:p>
    <w:p w:rsidR="00973D30" w:rsidRPr="00D478B5" w:rsidRDefault="00D478B5" w:rsidP="00386360">
      <w:pPr>
        <w:spacing w:line="360" w:lineRule="auto"/>
        <w:jc w:val="both"/>
        <w:rPr>
          <w:rFonts w:ascii="Times New Roman" w:hAnsi="Times New Roman"/>
          <w:b/>
          <w:sz w:val="24"/>
        </w:rPr>
      </w:pPr>
      <w:r>
        <w:rPr>
          <w:rFonts w:ascii="Times New Roman" w:hAnsi="Times New Roman"/>
          <w:b/>
          <w:sz w:val="24"/>
        </w:rPr>
        <w:t>Co-existence?</w:t>
      </w:r>
    </w:p>
    <w:p w:rsidR="00477A86" w:rsidRDefault="00BB547E" w:rsidP="00962112">
      <w:pPr>
        <w:spacing w:line="360" w:lineRule="auto"/>
        <w:jc w:val="both"/>
        <w:rPr>
          <w:rFonts w:ascii="Times New Roman" w:hAnsi="Times New Roman"/>
          <w:sz w:val="24"/>
        </w:rPr>
      </w:pPr>
      <w:r>
        <w:rPr>
          <w:rFonts w:ascii="Times New Roman" w:hAnsi="Times New Roman"/>
          <w:sz w:val="24"/>
        </w:rPr>
        <w:t xml:space="preserve">The first option for </w:t>
      </w:r>
      <w:r w:rsidR="006A699B" w:rsidRPr="00BB547E">
        <w:rPr>
          <w:rFonts w:ascii="Times New Roman" w:hAnsi="Times New Roman"/>
          <w:sz w:val="24"/>
        </w:rPr>
        <w:t xml:space="preserve">the Supreme Court </w:t>
      </w:r>
      <w:r w:rsidR="00A96F5C">
        <w:rPr>
          <w:rFonts w:ascii="Times New Roman" w:hAnsi="Times New Roman"/>
          <w:sz w:val="24"/>
        </w:rPr>
        <w:t xml:space="preserve">we consider </w:t>
      </w:r>
      <w:r>
        <w:rPr>
          <w:rFonts w:ascii="Times New Roman" w:hAnsi="Times New Roman"/>
          <w:sz w:val="24"/>
        </w:rPr>
        <w:t xml:space="preserve">is to accept the Court of Appeal decision in </w:t>
      </w:r>
      <w:r w:rsidRPr="00A96F5C">
        <w:rPr>
          <w:rFonts w:ascii="Times New Roman" w:hAnsi="Times New Roman"/>
          <w:i/>
          <w:sz w:val="24"/>
        </w:rPr>
        <w:t>Pace and Rogers</w:t>
      </w:r>
      <w:r>
        <w:rPr>
          <w:rFonts w:ascii="Times New Roman" w:hAnsi="Times New Roman"/>
          <w:sz w:val="24"/>
        </w:rPr>
        <w:t xml:space="preserve">, </w:t>
      </w:r>
      <w:r w:rsidR="00A96F5C">
        <w:rPr>
          <w:rFonts w:ascii="Times New Roman" w:hAnsi="Times New Roman"/>
          <w:sz w:val="24"/>
        </w:rPr>
        <w:t>without necessarily overruling</w:t>
      </w:r>
      <w:r w:rsidR="00A96F5C" w:rsidRPr="00A96F5C">
        <w:rPr>
          <w:rFonts w:ascii="Times New Roman" w:hAnsi="Times New Roman"/>
          <w:i/>
          <w:sz w:val="24"/>
        </w:rPr>
        <w:t xml:space="preserve"> Khan</w:t>
      </w:r>
      <w:r w:rsidR="00962112">
        <w:rPr>
          <w:rFonts w:ascii="Times New Roman" w:hAnsi="Times New Roman"/>
          <w:sz w:val="24"/>
        </w:rPr>
        <w:t>.</w:t>
      </w:r>
      <w:r w:rsidR="00A00C4F">
        <w:rPr>
          <w:rFonts w:ascii="Times New Roman" w:hAnsi="Times New Roman"/>
          <w:sz w:val="24"/>
        </w:rPr>
        <w:t xml:space="preserve"> This could be achieved, as noted by the Court of Appeal in </w:t>
      </w:r>
      <w:r w:rsidR="00A00C4F">
        <w:rPr>
          <w:rFonts w:ascii="Times New Roman" w:hAnsi="Times New Roman"/>
          <w:i/>
          <w:iCs/>
          <w:sz w:val="24"/>
        </w:rPr>
        <w:t>Pace and Rogers</w:t>
      </w:r>
      <w:r w:rsidR="00A00C4F">
        <w:rPr>
          <w:rFonts w:ascii="Times New Roman" w:hAnsi="Times New Roman"/>
          <w:sz w:val="24"/>
        </w:rPr>
        <w:t>,</w:t>
      </w:r>
      <w:r w:rsidR="00B7659D">
        <w:rPr>
          <w:rStyle w:val="FootnoteReference"/>
          <w:rFonts w:ascii="Times New Roman" w:hAnsi="Times New Roman"/>
          <w:sz w:val="24"/>
        </w:rPr>
        <w:footnoteReference w:id="18"/>
      </w:r>
      <w:r w:rsidR="00A00C4F">
        <w:rPr>
          <w:rFonts w:ascii="Times New Roman" w:hAnsi="Times New Roman"/>
          <w:sz w:val="24"/>
        </w:rPr>
        <w:t xml:space="preserve"> by distinguishing the </w:t>
      </w:r>
      <w:r w:rsidR="00B7659D">
        <w:rPr>
          <w:rFonts w:ascii="Times New Roman" w:hAnsi="Times New Roman"/>
          <w:sz w:val="24"/>
        </w:rPr>
        <w:t>approaches between possible and impossible attempt cases.</w:t>
      </w:r>
      <w:r w:rsidR="00962112">
        <w:rPr>
          <w:rFonts w:ascii="Times New Roman" w:hAnsi="Times New Roman"/>
          <w:sz w:val="24"/>
        </w:rPr>
        <w:t xml:space="preserve"> Thus the relevant law would be that </w:t>
      </w:r>
      <w:r w:rsidR="00962112" w:rsidRPr="00962112">
        <w:rPr>
          <w:rFonts w:ascii="Times New Roman" w:hAnsi="Times New Roman"/>
          <w:sz w:val="24"/>
        </w:rPr>
        <w:t>impossible attempts require intention/knowledge as to every element of the offence attempted</w:t>
      </w:r>
      <w:r w:rsidR="00B7659D">
        <w:rPr>
          <w:rFonts w:ascii="Times New Roman" w:hAnsi="Times New Roman"/>
          <w:sz w:val="24"/>
        </w:rPr>
        <w:t xml:space="preserve"> (</w:t>
      </w:r>
      <w:r w:rsidR="00B7659D">
        <w:rPr>
          <w:rFonts w:ascii="Times New Roman" w:hAnsi="Times New Roman"/>
          <w:i/>
          <w:iCs/>
          <w:sz w:val="24"/>
        </w:rPr>
        <w:t>Pace and Rogers</w:t>
      </w:r>
      <w:r w:rsidR="00B7659D">
        <w:rPr>
          <w:rFonts w:ascii="Times New Roman" w:hAnsi="Times New Roman"/>
          <w:sz w:val="24"/>
        </w:rPr>
        <w:t>)</w:t>
      </w:r>
      <w:r w:rsidR="00962112" w:rsidRPr="00962112">
        <w:rPr>
          <w:rFonts w:ascii="Times New Roman" w:hAnsi="Times New Roman"/>
          <w:sz w:val="24"/>
        </w:rPr>
        <w:t>, but</w:t>
      </w:r>
      <w:r w:rsidR="00962112">
        <w:rPr>
          <w:rFonts w:ascii="Times New Roman" w:hAnsi="Times New Roman"/>
          <w:sz w:val="24"/>
        </w:rPr>
        <w:t xml:space="preserve"> for possible attempts </w:t>
      </w:r>
      <w:r w:rsidR="009B2960">
        <w:rPr>
          <w:rFonts w:ascii="Times New Roman" w:hAnsi="Times New Roman"/>
          <w:sz w:val="24"/>
        </w:rPr>
        <w:t xml:space="preserve">it </w:t>
      </w:r>
      <w:r w:rsidR="003A22CA">
        <w:rPr>
          <w:rFonts w:ascii="Times New Roman" w:hAnsi="Times New Roman"/>
          <w:sz w:val="24"/>
        </w:rPr>
        <w:t xml:space="preserve">would </w:t>
      </w:r>
      <w:r w:rsidR="009B2960">
        <w:rPr>
          <w:rFonts w:ascii="Times New Roman" w:hAnsi="Times New Roman"/>
          <w:sz w:val="24"/>
        </w:rPr>
        <w:t xml:space="preserve">suffice </w:t>
      </w:r>
      <w:r w:rsidR="00E731FB">
        <w:rPr>
          <w:rFonts w:ascii="Times New Roman" w:hAnsi="Times New Roman"/>
          <w:sz w:val="24"/>
        </w:rPr>
        <w:t>f</w:t>
      </w:r>
      <w:r w:rsidR="009B2960">
        <w:rPr>
          <w:rFonts w:ascii="Times New Roman" w:hAnsi="Times New Roman"/>
          <w:sz w:val="24"/>
        </w:rPr>
        <w:t xml:space="preserve">or </w:t>
      </w:r>
      <w:r w:rsidR="00962112">
        <w:rPr>
          <w:rFonts w:ascii="Times New Roman" w:hAnsi="Times New Roman"/>
          <w:sz w:val="24"/>
        </w:rPr>
        <w:t xml:space="preserve">the mens rea as to circumstances </w:t>
      </w:r>
      <w:r w:rsidR="009B2960">
        <w:rPr>
          <w:rFonts w:ascii="Times New Roman" w:hAnsi="Times New Roman"/>
          <w:sz w:val="24"/>
        </w:rPr>
        <w:t xml:space="preserve">to </w:t>
      </w:r>
      <w:r w:rsidR="00962112" w:rsidRPr="00962112">
        <w:rPr>
          <w:rFonts w:ascii="Times New Roman" w:hAnsi="Times New Roman"/>
          <w:sz w:val="24"/>
        </w:rPr>
        <w:t>mirror that req</w:t>
      </w:r>
      <w:r w:rsidR="00962112">
        <w:rPr>
          <w:rFonts w:ascii="Times New Roman" w:hAnsi="Times New Roman"/>
          <w:sz w:val="24"/>
        </w:rPr>
        <w:t>uired for the principal offence</w:t>
      </w:r>
      <w:r w:rsidR="00B7659D">
        <w:rPr>
          <w:rFonts w:ascii="Times New Roman" w:hAnsi="Times New Roman"/>
          <w:sz w:val="24"/>
        </w:rPr>
        <w:t xml:space="preserve"> (</w:t>
      </w:r>
      <w:r w:rsidR="00B7659D">
        <w:rPr>
          <w:rFonts w:ascii="Times New Roman" w:hAnsi="Times New Roman"/>
          <w:i/>
          <w:iCs/>
          <w:sz w:val="24"/>
        </w:rPr>
        <w:t>Khan</w:t>
      </w:r>
      <w:r w:rsidR="00B7659D">
        <w:rPr>
          <w:rFonts w:ascii="Times New Roman" w:hAnsi="Times New Roman"/>
          <w:sz w:val="24"/>
        </w:rPr>
        <w:t>)</w:t>
      </w:r>
      <w:r w:rsidR="00962112">
        <w:rPr>
          <w:rFonts w:ascii="Times New Roman" w:hAnsi="Times New Roman"/>
          <w:sz w:val="24"/>
        </w:rPr>
        <w:t xml:space="preserve">. </w:t>
      </w:r>
      <w:r w:rsidR="009B2960" w:rsidRPr="00477A86">
        <w:rPr>
          <w:rFonts w:ascii="Times New Roman" w:hAnsi="Times New Roman"/>
          <w:sz w:val="24"/>
        </w:rPr>
        <w:t>This approach has</w:t>
      </w:r>
      <w:r w:rsidR="00477A86">
        <w:rPr>
          <w:rFonts w:ascii="Times New Roman" w:hAnsi="Times New Roman"/>
          <w:sz w:val="24"/>
        </w:rPr>
        <w:t xml:space="preserve"> the</w:t>
      </w:r>
      <w:r w:rsidR="009B2960" w:rsidRPr="00477A86">
        <w:rPr>
          <w:rFonts w:ascii="Times New Roman" w:hAnsi="Times New Roman"/>
          <w:sz w:val="24"/>
        </w:rPr>
        <w:t xml:space="preserve"> o</w:t>
      </w:r>
      <w:r w:rsidR="00477A86">
        <w:rPr>
          <w:rFonts w:ascii="Times New Roman" w:hAnsi="Times New Roman"/>
          <w:sz w:val="24"/>
        </w:rPr>
        <w:t>bvious appeal that it does not require the Supreme Court to favour one</w:t>
      </w:r>
      <w:r w:rsidR="003A22CA">
        <w:rPr>
          <w:rFonts w:ascii="Times New Roman" w:hAnsi="Times New Roman"/>
          <w:sz w:val="24"/>
        </w:rPr>
        <w:t xml:space="preserve"> </w:t>
      </w:r>
      <w:r w:rsidR="00866688">
        <w:rPr>
          <w:rFonts w:ascii="Times New Roman" w:hAnsi="Times New Roman"/>
          <w:sz w:val="24"/>
        </w:rPr>
        <w:t xml:space="preserve">decision </w:t>
      </w:r>
      <w:r w:rsidR="003A22CA">
        <w:rPr>
          <w:rFonts w:ascii="Times New Roman" w:hAnsi="Times New Roman"/>
          <w:sz w:val="24"/>
        </w:rPr>
        <w:t xml:space="preserve">over </w:t>
      </w:r>
      <w:r w:rsidR="00477A86">
        <w:rPr>
          <w:rFonts w:ascii="Times New Roman" w:hAnsi="Times New Roman"/>
          <w:sz w:val="24"/>
        </w:rPr>
        <w:t xml:space="preserve">the other, whilst at the same time preventing the intersection of impossible attempts with a </w:t>
      </w:r>
      <w:r w:rsidR="00477A86" w:rsidRPr="00477A86">
        <w:rPr>
          <w:rFonts w:ascii="Times New Roman" w:hAnsi="Times New Roman"/>
          <w:i/>
          <w:sz w:val="24"/>
        </w:rPr>
        <w:t>Khan</w:t>
      </w:r>
      <w:r w:rsidR="00477A86">
        <w:rPr>
          <w:rFonts w:ascii="Times New Roman" w:hAnsi="Times New Roman"/>
          <w:sz w:val="24"/>
        </w:rPr>
        <w:t>-like approach to mens rea.</w:t>
      </w:r>
    </w:p>
    <w:p w:rsidR="00962112" w:rsidRPr="00962112" w:rsidRDefault="00962112" w:rsidP="00962112">
      <w:pPr>
        <w:spacing w:line="360" w:lineRule="auto"/>
        <w:jc w:val="both"/>
        <w:rPr>
          <w:rFonts w:ascii="Times New Roman" w:hAnsi="Times New Roman"/>
          <w:sz w:val="24"/>
        </w:rPr>
      </w:pPr>
      <w:r w:rsidRPr="00962112">
        <w:rPr>
          <w:rFonts w:ascii="Times New Roman" w:hAnsi="Times New Roman"/>
          <w:sz w:val="24"/>
        </w:rPr>
        <w:t>However, we believe that this route should be resisted. This is because, although notionally isol</w:t>
      </w:r>
      <w:r w:rsidR="006C4A96">
        <w:rPr>
          <w:rFonts w:ascii="Times New Roman" w:hAnsi="Times New Roman"/>
          <w:sz w:val="24"/>
        </w:rPr>
        <w:t>ated to impossible attempts, requiring intention or knowledge for the reasons set out</w:t>
      </w:r>
      <w:r w:rsidRPr="00962112">
        <w:rPr>
          <w:rFonts w:ascii="Times New Roman" w:hAnsi="Times New Roman"/>
          <w:sz w:val="24"/>
        </w:rPr>
        <w:t xml:space="preserve"> in </w:t>
      </w:r>
      <w:r w:rsidRPr="00962112">
        <w:rPr>
          <w:rFonts w:ascii="Times New Roman" w:hAnsi="Times New Roman"/>
          <w:i/>
          <w:iCs/>
          <w:sz w:val="24"/>
        </w:rPr>
        <w:t>Pace and Rogers</w:t>
      </w:r>
      <w:r w:rsidRPr="00962112">
        <w:rPr>
          <w:rFonts w:ascii="Times New Roman" w:hAnsi="Times New Roman"/>
          <w:sz w:val="24"/>
        </w:rPr>
        <w:t xml:space="preserve"> is equally applicable to possible attempts; in reality, setting out an alternative view from </w:t>
      </w:r>
      <w:r w:rsidRPr="00962112">
        <w:rPr>
          <w:rFonts w:ascii="Times New Roman" w:hAnsi="Times New Roman"/>
          <w:i/>
          <w:iCs/>
          <w:sz w:val="24"/>
        </w:rPr>
        <w:t>Khan</w:t>
      </w:r>
      <w:r w:rsidRPr="00962112">
        <w:rPr>
          <w:rFonts w:ascii="Times New Roman" w:hAnsi="Times New Roman"/>
          <w:sz w:val="24"/>
        </w:rPr>
        <w:t xml:space="preserve"> about the wrongs of attempt liability. For the Court of Appeal in </w:t>
      </w:r>
      <w:r w:rsidRPr="00962112">
        <w:rPr>
          <w:rFonts w:ascii="Times New Roman" w:hAnsi="Times New Roman"/>
          <w:i/>
          <w:iCs/>
          <w:sz w:val="24"/>
        </w:rPr>
        <w:t>Pace and Rogers</w:t>
      </w:r>
      <w:r w:rsidRPr="00962112">
        <w:rPr>
          <w:rFonts w:ascii="Times New Roman" w:hAnsi="Times New Roman"/>
          <w:sz w:val="24"/>
        </w:rPr>
        <w:t xml:space="preserve">, ‘s.1(1) … as a matter of ordinary language </w:t>
      </w:r>
      <w:r w:rsidRPr="00962112">
        <w:rPr>
          <w:rFonts w:ascii="Times New Roman" w:hAnsi="Times New Roman"/>
          <w:i/>
          <w:iCs/>
          <w:sz w:val="24"/>
        </w:rPr>
        <w:t>and in accordance with principle</w:t>
      </w:r>
      <w:r w:rsidRPr="00962112">
        <w:rPr>
          <w:rFonts w:ascii="Times New Roman" w:hAnsi="Times New Roman"/>
          <w:sz w:val="24"/>
        </w:rPr>
        <w:t>, an “intent to commit an offence” connotes an intent to commit all the elements of the offence.’</w:t>
      </w:r>
      <w:r w:rsidRPr="00962112">
        <w:rPr>
          <w:rFonts w:ascii="Times New Roman" w:hAnsi="Times New Roman"/>
          <w:sz w:val="24"/>
          <w:vertAlign w:val="superscript"/>
        </w:rPr>
        <w:footnoteReference w:id="19"/>
      </w:r>
      <w:r w:rsidRPr="00962112">
        <w:rPr>
          <w:rFonts w:ascii="Times New Roman" w:hAnsi="Times New Roman"/>
          <w:sz w:val="24"/>
        </w:rPr>
        <w:t xml:space="preserve"> In contrast, in </w:t>
      </w:r>
      <w:r w:rsidRPr="00962112">
        <w:rPr>
          <w:rFonts w:ascii="Times New Roman" w:hAnsi="Times New Roman"/>
          <w:i/>
          <w:iCs/>
          <w:sz w:val="24"/>
        </w:rPr>
        <w:t>Khan</w:t>
      </w:r>
      <w:r w:rsidRPr="00962112">
        <w:rPr>
          <w:rFonts w:ascii="Times New Roman" w:hAnsi="Times New Roman"/>
          <w:sz w:val="24"/>
        </w:rPr>
        <w:t xml:space="preserve"> the view was taken that ‘attempt does not require any different intention … from that for the full offence.’</w:t>
      </w:r>
      <w:r w:rsidRPr="00962112">
        <w:rPr>
          <w:rFonts w:ascii="Times New Roman" w:hAnsi="Times New Roman"/>
          <w:sz w:val="24"/>
          <w:vertAlign w:val="superscript"/>
        </w:rPr>
        <w:footnoteReference w:id="20"/>
      </w:r>
      <w:r w:rsidRPr="00962112">
        <w:rPr>
          <w:rFonts w:ascii="Times New Roman" w:hAnsi="Times New Roman"/>
          <w:sz w:val="24"/>
        </w:rPr>
        <w:t xml:space="preserve"> If (as it seems) the distinction between </w:t>
      </w:r>
      <w:r w:rsidRPr="00962112">
        <w:rPr>
          <w:rFonts w:ascii="Times New Roman" w:hAnsi="Times New Roman"/>
          <w:i/>
          <w:iCs/>
          <w:sz w:val="24"/>
        </w:rPr>
        <w:lastRenderedPageBreak/>
        <w:t>Khan</w:t>
      </w:r>
      <w:r w:rsidRPr="00962112">
        <w:rPr>
          <w:rFonts w:ascii="Times New Roman" w:hAnsi="Times New Roman"/>
          <w:sz w:val="24"/>
        </w:rPr>
        <w:t xml:space="preserve"> and </w:t>
      </w:r>
      <w:r w:rsidRPr="00962112">
        <w:rPr>
          <w:rFonts w:ascii="Times New Roman" w:hAnsi="Times New Roman"/>
          <w:i/>
          <w:iCs/>
          <w:sz w:val="24"/>
        </w:rPr>
        <w:t>Pace and Rogers</w:t>
      </w:r>
      <w:r w:rsidRPr="00962112">
        <w:rPr>
          <w:rFonts w:ascii="Times New Roman" w:hAnsi="Times New Roman"/>
          <w:sz w:val="24"/>
        </w:rPr>
        <w:t xml:space="preserve"> reflects different views on the wrongs of attempt liability in general, their co-existence (however convenient their separation) is incoherent.</w:t>
      </w:r>
      <w:r w:rsidRPr="009F42BC">
        <w:rPr>
          <w:rFonts w:ascii="Times New Roman" w:hAnsi="Times New Roman"/>
          <w:sz w:val="24"/>
          <w:vertAlign w:val="superscript"/>
        </w:rPr>
        <w:footnoteReference w:id="21"/>
      </w:r>
      <w:r w:rsidRPr="00962112">
        <w:rPr>
          <w:rFonts w:ascii="Times New Roman" w:hAnsi="Times New Roman"/>
          <w:sz w:val="24"/>
        </w:rPr>
        <w:t xml:space="preserve">  </w:t>
      </w:r>
    </w:p>
    <w:p w:rsidR="00962112" w:rsidRPr="00962112" w:rsidRDefault="00E731FB" w:rsidP="00962112">
      <w:pPr>
        <w:spacing w:line="360" w:lineRule="auto"/>
        <w:jc w:val="both"/>
        <w:rPr>
          <w:rFonts w:ascii="Times New Roman" w:hAnsi="Times New Roman"/>
          <w:sz w:val="24"/>
        </w:rPr>
      </w:pPr>
      <w:r>
        <w:rPr>
          <w:rFonts w:ascii="Times New Roman" w:hAnsi="Times New Roman"/>
          <w:sz w:val="24"/>
        </w:rPr>
        <w:t>Indeed the c</w:t>
      </w:r>
      <w:r w:rsidR="00962112" w:rsidRPr="00962112">
        <w:rPr>
          <w:rFonts w:ascii="Times New Roman" w:hAnsi="Times New Roman"/>
          <w:sz w:val="24"/>
        </w:rPr>
        <w:t xml:space="preserve">ourt in </w:t>
      </w:r>
      <w:r w:rsidR="00962112" w:rsidRPr="00962112">
        <w:rPr>
          <w:rFonts w:ascii="Times New Roman" w:hAnsi="Times New Roman"/>
          <w:i/>
          <w:iCs/>
          <w:sz w:val="24"/>
        </w:rPr>
        <w:t>Pace and Rogers</w:t>
      </w:r>
      <w:r w:rsidR="00962112" w:rsidRPr="00962112">
        <w:rPr>
          <w:rFonts w:ascii="Times New Roman" w:hAnsi="Times New Roman"/>
          <w:sz w:val="24"/>
        </w:rPr>
        <w:t xml:space="preserve"> set out a number of common criticisms of the </w:t>
      </w:r>
      <w:r w:rsidR="00962112" w:rsidRPr="00962112">
        <w:rPr>
          <w:rFonts w:ascii="Times New Roman" w:hAnsi="Times New Roman"/>
          <w:i/>
          <w:iCs/>
          <w:sz w:val="24"/>
        </w:rPr>
        <w:t>Khan</w:t>
      </w:r>
      <w:r w:rsidR="00962112" w:rsidRPr="00962112">
        <w:rPr>
          <w:rFonts w:ascii="Times New Roman" w:hAnsi="Times New Roman"/>
          <w:sz w:val="24"/>
        </w:rPr>
        <w:t xml:space="preserve"> approach (equally applicable to the context of possible attempts). These include the straining of the </w:t>
      </w:r>
      <w:r w:rsidR="00817269">
        <w:rPr>
          <w:rFonts w:ascii="Times New Roman" w:hAnsi="Times New Roman"/>
          <w:sz w:val="24"/>
        </w:rPr>
        <w:t>statutory wording in the CAA</w:t>
      </w:r>
      <w:r w:rsidR="00962112" w:rsidRPr="00962112">
        <w:rPr>
          <w:rFonts w:ascii="Times New Roman" w:hAnsi="Times New Roman"/>
          <w:sz w:val="24"/>
        </w:rPr>
        <w:t xml:space="preserve"> to require any mens rea less than intention or knowledge;</w:t>
      </w:r>
      <w:r w:rsidR="00962112" w:rsidRPr="00962112">
        <w:rPr>
          <w:rFonts w:ascii="Times New Roman" w:hAnsi="Times New Roman"/>
          <w:sz w:val="24"/>
          <w:vertAlign w:val="superscript"/>
        </w:rPr>
        <w:footnoteReference w:id="22"/>
      </w:r>
      <w:r w:rsidR="00962112" w:rsidRPr="00962112">
        <w:rPr>
          <w:rFonts w:ascii="Times New Roman" w:hAnsi="Times New Roman"/>
          <w:sz w:val="24"/>
        </w:rPr>
        <w:t xml:space="preserve"> the fact intention/knowledge as to circumstances was intended by those framing the legislation;</w:t>
      </w:r>
      <w:r w:rsidR="00962112" w:rsidRPr="00962112">
        <w:rPr>
          <w:rFonts w:ascii="Times New Roman" w:hAnsi="Times New Roman"/>
          <w:sz w:val="24"/>
          <w:vertAlign w:val="superscript"/>
        </w:rPr>
        <w:footnoteReference w:id="23"/>
      </w:r>
      <w:r w:rsidR="00962112" w:rsidRPr="00962112">
        <w:rPr>
          <w:rFonts w:ascii="Times New Roman" w:hAnsi="Times New Roman"/>
          <w:sz w:val="24"/>
        </w:rPr>
        <w:t xml:space="preserve"> that the </w:t>
      </w:r>
      <w:r w:rsidR="00962112" w:rsidRPr="00962112">
        <w:rPr>
          <w:rFonts w:ascii="Times New Roman" w:hAnsi="Times New Roman"/>
          <w:i/>
          <w:iCs/>
          <w:sz w:val="24"/>
        </w:rPr>
        <w:t>Khan</w:t>
      </w:r>
      <w:r w:rsidR="00962112" w:rsidRPr="00962112">
        <w:rPr>
          <w:rFonts w:ascii="Times New Roman" w:hAnsi="Times New Roman"/>
          <w:sz w:val="24"/>
        </w:rPr>
        <w:t xml:space="preserve"> approach relies upon the troublesome distinction of circumstances from other offence elements;</w:t>
      </w:r>
      <w:r w:rsidR="00962112" w:rsidRPr="00962112">
        <w:rPr>
          <w:rFonts w:ascii="Times New Roman" w:hAnsi="Times New Roman"/>
          <w:sz w:val="24"/>
          <w:vertAlign w:val="superscript"/>
        </w:rPr>
        <w:footnoteReference w:id="24"/>
      </w:r>
      <w:r w:rsidR="00962112" w:rsidRPr="00962112">
        <w:rPr>
          <w:rFonts w:ascii="Times New Roman" w:hAnsi="Times New Roman"/>
          <w:sz w:val="24"/>
        </w:rPr>
        <w:t xml:space="preserve"> as well as the inconsistency that the </w:t>
      </w:r>
      <w:r w:rsidR="00962112" w:rsidRPr="00962112">
        <w:rPr>
          <w:rFonts w:ascii="Times New Roman" w:hAnsi="Times New Roman"/>
          <w:i/>
          <w:iCs/>
          <w:sz w:val="24"/>
        </w:rPr>
        <w:t>Khan</w:t>
      </w:r>
      <w:r w:rsidR="00962112" w:rsidRPr="00962112">
        <w:rPr>
          <w:rFonts w:ascii="Times New Roman" w:hAnsi="Times New Roman"/>
          <w:sz w:val="24"/>
        </w:rPr>
        <w:t xml:space="preserve"> approach creates with the overlapping offence of conspiracy.</w:t>
      </w:r>
      <w:r w:rsidR="00962112" w:rsidRPr="00962112">
        <w:rPr>
          <w:rFonts w:ascii="Times New Roman" w:hAnsi="Times New Roman"/>
          <w:sz w:val="24"/>
          <w:vertAlign w:val="superscript"/>
        </w:rPr>
        <w:footnoteReference w:id="25"/>
      </w:r>
      <w:r w:rsidR="00962112" w:rsidRPr="00962112">
        <w:rPr>
          <w:rFonts w:ascii="Times New Roman" w:hAnsi="Times New Roman"/>
          <w:sz w:val="24"/>
        </w:rPr>
        <w:t xml:space="preserve"> </w:t>
      </w:r>
    </w:p>
    <w:p w:rsidR="00046120" w:rsidRDefault="00962112" w:rsidP="00122204">
      <w:pPr>
        <w:spacing w:line="360" w:lineRule="auto"/>
        <w:jc w:val="both"/>
        <w:rPr>
          <w:rFonts w:ascii="Times New Roman" w:hAnsi="Times New Roman"/>
          <w:sz w:val="24"/>
        </w:rPr>
      </w:pPr>
      <w:r w:rsidRPr="00FF2954">
        <w:rPr>
          <w:rFonts w:ascii="Times New Roman" w:hAnsi="Times New Roman"/>
          <w:sz w:val="24"/>
        </w:rPr>
        <w:t>Finally, this list should be bolstered by reference to the pre-1981 debate, where the potential for different approaches to possible and impossible attempts (on exactly these lines) was mooted and quickly rejected. The reason</w:t>
      </w:r>
      <w:r w:rsidR="008C54EE">
        <w:rPr>
          <w:rFonts w:ascii="Times New Roman" w:hAnsi="Times New Roman"/>
          <w:sz w:val="24"/>
        </w:rPr>
        <w:t>s</w:t>
      </w:r>
      <w:r w:rsidRPr="00FF2954">
        <w:rPr>
          <w:rFonts w:ascii="Times New Roman" w:hAnsi="Times New Roman"/>
          <w:sz w:val="24"/>
        </w:rPr>
        <w:t xml:space="preserve"> </w:t>
      </w:r>
      <w:r w:rsidR="008C54EE">
        <w:rPr>
          <w:rFonts w:ascii="Times New Roman" w:hAnsi="Times New Roman"/>
          <w:sz w:val="24"/>
        </w:rPr>
        <w:t xml:space="preserve">included problems created by </w:t>
      </w:r>
      <w:r w:rsidR="00FF2954">
        <w:rPr>
          <w:rFonts w:ascii="Times New Roman" w:hAnsi="Times New Roman"/>
          <w:sz w:val="24"/>
        </w:rPr>
        <w:t xml:space="preserve">the complexity inherent in </w:t>
      </w:r>
      <w:r w:rsidRPr="00FF2954">
        <w:rPr>
          <w:rFonts w:ascii="Times New Roman" w:hAnsi="Times New Roman"/>
          <w:sz w:val="24"/>
        </w:rPr>
        <w:t xml:space="preserve">maintaining </w:t>
      </w:r>
      <w:r w:rsidR="00FF2954">
        <w:rPr>
          <w:rFonts w:ascii="Times New Roman" w:hAnsi="Times New Roman"/>
          <w:sz w:val="24"/>
        </w:rPr>
        <w:t>parallel mens rea requirements.</w:t>
      </w:r>
      <w:r w:rsidRPr="00FF2954">
        <w:rPr>
          <w:rFonts w:ascii="Times New Roman" w:hAnsi="Times New Roman"/>
          <w:sz w:val="24"/>
        </w:rPr>
        <w:t xml:space="preserve"> </w:t>
      </w:r>
      <w:r w:rsidR="008C54EE">
        <w:rPr>
          <w:rFonts w:ascii="Times New Roman" w:hAnsi="Times New Roman"/>
          <w:sz w:val="24"/>
        </w:rPr>
        <w:t>However, even if this could be tolerated, each case would require a decision to be made about whether the attempt in question was possible or not. It should not be assumed that this distinction will always or generally be clear.</w:t>
      </w:r>
      <w:r w:rsidR="008C54EE" w:rsidRPr="00FF2954">
        <w:rPr>
          <w:rFonts w:ascii="Times New Roman" w:hAnsi="Times New Roman"/>
          <w:sz w:val="24"/>
          <w:vertAlign w:val="superscript"/>
        </w:rPr>
        <w:footnoteReference w:id="26"/>
      </w:r>
      <w:r w:rsidR="0073158B">
        <w:rPr>
          <w:rFonts w:ascii="Times New Roman" w:hAnsi="Times New Roman"/>
          <w:sz w:val="24"/>
        </w:rPr>
        <w:t xml:space="preserve"> Does the bank robber have the right tools to break into the bank? Are the goods obtained stolen property? Was there enough arsenic in the drink for the son to kill his mother? The possible list of examples might well be legion, and will be added to each day in court as opposing counsel seek to urge one or the other</w:t>
      </w:r>
      <w:r w:rsidR="00122204">
        <w:rPr>
          <w:rFonts w:ascii="Times New Roman" w:hAnsi="Times New Roman"/>
          <w:sz w:val="24"/>
        </w:rPr>
        <w:t>,</w:t>
      </w:r>
      <w:r w:rsidR="0073158B">
        <w:rPr>
          <w:rFonts w:ascii="Times New Roman" w:hAnsi="Times New Roman"/>
          <w:sz w:val="24"/>
        </w:rPr>
        <w:t xml:space="preserve"> because so much will turn on it.</w:t>
      </w:r>
    </w:p>
    <w:p w:rsidR="00A00C4F" w:rsidRDefault="00A00C4F" w:rsidP="00046120">
      <w:pPr>
        <w:spacing w:line="360" w:lineRule="auto"/>
        <w:jc w:val="both"/>
        <w:rPr>
          <w:rFonts w:ascii="Times New Roman" w:hAnsi="Times New Roman"/>
          <w:sz w:val="24"/>
        </w:rPr>
      </w:pPr>
    </w:p>
    <w:p w:rsidR="00F92F16" w:rsidRPr="009C3BBA" w:rsidRDefault="00F92F16" w:rsidP="00F92F16">
      <w:pPr>
        <w:spacing w:line="360" w:lineRule="auto"/>
        <w:jc w:val="both"/>
        <w:rPr>
          <w:rFonts w:ascii="Times New Roman" w:hAnsi="Times New Roman"/>
          <w:b/>
          <w:sz w:val="24"/>
        </w:rPr>
      </w:pPr>
      <w:r w:rsidRPr="00046120">
        <w:rPr>
          <w:rFonts w:ascii="Times New Roman" w:hAnsi="Times New Roman"/>
          <w:b/>
          <w:sz w:val="24"/>
        </w:rPr>
        <w:t xml:space="preserve">Generalising </w:t>
      </w:r>
      <w:r w:rsidRPr="00046120">
        <w:rPr>
          <w:rFonts w:ascii="Times New Roman" w:hAnsi="Times New Roman"/>
          <w:b/>
          <w:i/>
          <w:sz w:val="24"/>
        </w:rPr>
        <w:t>Khan</w:t>
      </w:r>
      <w:r w:rsidR="009C3BBA">
        <w:rPr>
          <w:rFonts w:ascii="Times New Roman" w:hAnsi="Times New Roman"/>
          <w:b/>
          <w:sz w:val="24"/>
        </w:rPr>
        <w:t>?</w:t>
      </w:r>
    </w:p>
    <w:p w:rsidR="00F92F16" w:rsidRPr="00F92F16" w:rsidRDefault="00F92F16" w:rsidP="00F92F16">
      <w:pPr>
        <w:spacing w:line="360" w:lineRule="auto"/>
        <w:jc w:val="both"/>
        <w:rPr>
          <w:rFonts w:ascii="Times New Roman" w:hAnsi="Times New Roman"/>
          <w:bCs/>
          <w:sz w:val="24"/>
        </w:rPr>
      </w:pPr>
      <w:r w:rsidRPr="00F92F16">
        <w:rPr>
          <w:rFonts w:ascii="Times New Roman" w:hAnsi="Times New Roman"/>
          <w:bCs/>
          <w:sz w:val="24"/>
        </w:rPr>
        <w:t>Having rejected the compromise position, we must</w:t>
      </w:r>
      <w:r>
        <w:rPr>
          <w:rFonts w:ascii="Times New Roman" w:hAnsi="Times New Roman"/>
          <w:bCs/>
          <w:sz w:val="24"/>
        </w:rPr>
        <w:t xml:space="preserve"> then</w:t>
      </w:r>
      <w:r w:rsidRPr="00F92F16">
        <w:rPr>
          <w:rFonts w:ascii="Times New Roman" w:hAnsi="Times New Roman"/>
          <w:bCs/>
          <w:sz w:val="24"/>
        </w:rPr>
        <w:t xml:space="preserve"> decide between the competing rationales for</w:t>
      </w:r>
      <w:r>
        <w:rPr>
          <w:rFonts w:ascii="Times New Roman" w:hAnsi="Times New Roman"/>
          <w:bCs/>
          <w:sz w:val="24"/>
        </w:rPr>
        <w:t xml:space="preserve"> criminal attempt. Therefore the next </w:t>
      </w:r>
      <w:r w:rsidRPr="00F92F16">
        <w:rPr>
          <w:rFonts w:ascii="Times New Roman" w:hAnsi="Times New Roman"/>
          <w:bCs/>
          <w:sz w:val="24"/>
        </w:rPr>
        <w:t xml:space="preserve">option </w:t>
      </w:r>
      <w:r>
        <w:rPr>
          <w:rFonts w:ascii="Times New Roman" w:hAnsi="Times New Roman"/>
          <w:bCs/>
          <w:sz w:val="24"/>
        </w:rPr>
        <w:t xml:space="preserve">to consider involves </w:t>
      </w:r>
      <w:r w:rsidRPr="00F92F16">
        <w:rPr>
          <w:rFonts w:ascii="Times New Roman" w:hAnsi="Times New Roman"/>
          <w:bCs/>
          <w:sz w:val="24"/>
        </w:rPr>
        <w:t>extend</w:t>
      </w:r>
      <w:r>
        <w:rPr>
          <w:rFonts w:ascii="Times New Roman" w:hAnsi="Times New Roman"/>
          <w:bCs/>
          <w:sz w:val="24"/>
        </w:rPr>
        <w:t xml:space="preserve">ing </w:t>
      </w:r>
      <w:r w:rsidRPr="00F92F16">
        <w:rPr>
          <w:rFonts w:ascii="Times New Roman" w:hAnsi="Times New Roman"/>
          <w:bCs/>
          <w:i/>
          <w:iCs/>
          <w:sz w:val="24"/>
        </w:rPr>
        <w:t>Khan</w:t>
      </w:r>
      <w:r w:rsidRPr="00F92F16">
        <w:rPr>
          <w:rFonts w:ascii="Times New Roman" w:hAnsi="Times New Roman"/>
          <w:bCs/>
          <w:sz w:val="24"/>
        </w:rPr>
        <w:t xml:space="preserve"> as a general appro</w:t>
      </w:r>
      <w:r>
        <w:rPr>
          <w:rFonts w:ascii="Times New Roman" w:hAnsi="Times New Roman"/>
          <w:bCs/>
          <w:sz w:val="24"/>
        </w:rPr>
        <w:t xml:space="preserve">ach to the mens rea of attempts, and rejecting </w:t>
      </w:r>
      <w:r w:rsidRPr="00F92F16">
        <w:rPr>
          <w:rFonts w:ascii="Times New Roman" w:hAnsi="Times New Roman"/>
          <w:bCs/>
          <w:i/>
          <w:sz w:val="24"/>
        </w:rPr>
        <w:t>Pace and Rogers</w:t>
      </w:r>
      <w:r>
        <w:rPr>
          <w:rFonts w:ascii="Times New Roman" w:hAnsi="Times New Roman"/>
          <w:bCs/>
          <w:sz w:val="24"/>
        </w:rPr>
        <w:t>.</w:t>
      </w:r>
      <w:r w:rsidRPr="00F92F16">
        <w:rPr>
          <w:rFonts w:ascii="Times New Roman" w:hAnsi="Times New Roman"/>
          <w:bCs/>
          <w:sz w:val="24"/>
        </w:rPr>
        <w:t xml:space="preserve"> This approach has been favoured in recent Law Commission recommendations (although, in the </w:t>
      </w:r>
      <w:r w:rsidRPr="00F92F16">
        <w:rPr>
          <w:rFonts w:ascii="Times New Roman" w:hAnsi="Times New Roman"/>
          <w:bCs/>
          <w:sz w:val="24"/>
        </w:rPr>
        <w:lastRenderedPageBreak/>
        <w:t>context of a change of statutory wording),</w:t>
      </w:r>
      <w:r w:rsidRPr="00F92F16">
        <w:rPr>
          <w:rFonts w:ascii="Times New Roman" w:hAnsi="Times New Roman"/>
          <w:bCs/>
          <w:sz w:val="24"/>
          <w:vertAlign w:val="superscript"/>
        </w:rPr>
        <w:footnoteReference w:id="27"/>
      </w:r>
      <w:r w:rsidRPr="00F92F16">
        <w:rPr>
          <w:rFonts w:ascii="Times New Roman" w:hAnsi="Times New Roman"/>
          <w:bCs/>
          <w:sz w:val="24"/>
        </w:rPr>
        <w:t xml:space="preserve"> and offer</w:t>
      </w:r>
      <w:r>
        <w:rPr>
          <w:rFonts w:ascii="Times New Roman" w:hAnsi="Times New Roman"/>
          <w:bCs/>
          <w:sz w:val="24"/>
        </w:rPr>
        <w:t>s</w:t>
      </w:r>
      <w:r w:rsidRPr="00F92F16">
        <w:rPr>
          <w:rFonts w:ascii="Times New Roman" w:hAnsi="Times New Roman"/>
          <w:bCs/>
          <w:sz w:val="24"/>
        </w:rPr>
        <w:t xml:space="preserve"> the flexibility required to convict defendants like </w:t>
      </w:r>
      <w:r w:rsidRPr="00F92F16">
        <w:rPr>
          <w:rFonts w:ascii="Times New Roman" w:hAnsi="Times New Roman"/>
          <w:bCs/>
          <w:i/>
          <w:iCs/>
          <w:sz w:val="24"/>
        </w:rPr>
        <w:t>Khan</w:t>
      </w:r>
      <w:r w:rsidRPr="00F92F16">
        <w:rPr>
          <w:rFonts w:ascii="Times New Roman" w:hAnsi="Times New Roman"/>
          <w:bCs/>
          <w:sz w:val="24"/>
        </w:rPr>
        <w:t xml:space="preserve"> (and, indeed, </w:t>
      </w:r>
      <w:r w:rsidRPr="00F92F16">
        <w:rPr>
          <w:rFonts w:ascii="Times New Roman" w:hAnsi="Times New Roman"/>
          <w:bCs/>
          <w:i/>
          <w:iCs/>
          <w:sz w:val="24"/>
        </w:rPr>
        <w:t>Pace and Rogers</w:t>
      </w:r>
      <w:r w:rsidRPr="00F92F16">
        <w:rPr>
          <w:rFonts w:ascii="Times New Roman" w:hAnsi="Times New Roman"/>
          <w:bCs/>
          <w:sz w:val="24"/>
        </w:rPr>
        <w:t>) where this is seen as desirable.</w:t>
      </w:r>
    </w:p>
    <w:p w:rsidR="001C5ED7" w:rsidRDefault="00F92F16" w:rsidP="00046120">
      <w:pPr>
        <w:spacing w:line="360" w:lineRule="auto"/>
        <w:jc w:val="both"/>
        <w:rPr>
          <w:rFonts w:ascii="Times New Roman" w:hAnsi="Times New Roman"/>
          <w:bCs/>
          <w:sz w:val="24"/>
        </w:rPr>
      </w:pPr>
      <w:r w:rsidRPr="00F92F16">
        <w:rPr>
          <w:rFonts w:ascii="Times New Roman" w:hAnsi="Times New Roman"/>
          <w:bCs/>
          <w:sz w:val="24"/>
        </w:rPr>
        <w:t xml:space="preserve">However, it is contended that this would be the wrong approach. </w:t>
      </w:r>
      <w:r>
        <w:rPr>
          <w:rFonts w:ascii="Times New Roman" w:hAnsi="Times New Roman"/>
          <w:bCs/>
          <w:sz w:val="24"/>
        </w:rPr>
        <w:t xml:space="preserve">This is because the </w:t>
      </w:r>
      <w:r w:rsidRPr="00F92F16">
        <w:rPr>
          <w:rFonts w:ascii="Times New Roman" w:hAnsi="Times New Roman"/>
          <w:bCs/>
          <w:i/>
          <w:iCs/>
          <w:sz w:val="24"/>
        </w:rPr>
        <w:t>Khan</w:t>
      </w:r>
      <w:r w:rsidRPr="00F92F16">
        <w:rPr>
          <w:rFonts w:ascii="Times New Roman" w:hAnsi="Times New Roman"/>
          <w:bCs/>
          <w:sz w:val="24"/>
        </w:rPr>
        <w:t xml:space="preserve"> approach </w:t>
      </w:r>
      <w:r>
        <w:rPr>
          <w:rFonts w:ascii="Times New Roman" w:hAnsi="Times New Roman"/>
          <w:bCs/>
          <w:sz w:val="24"/>
        </w:rPr>
        <w:t xml:space="preserve">simply </w:t>
      </w:r>
      <w:r w:rsidRPr="00F92F16">
        <w:rPr>
          <w:rFonts w:ascii="Times New Roman" w:hAnsi="Times New Roman"/>
          <w:bCs/>
          <w:sz w:val="24"/>
        </w:rPr>
        <w:t xml:space="preserve">does not provide a coherent model for the mens rea of attempt as a </w:t>
      </w:r>
      <w:r w:rsidRPr="00F92F16">
        <w:rPr>
          <w:rFonts w:ascii="Times New Roman" w:hAnsi="Times New Roman"/>
          <w:bCs/>
          <w:i/>
          <w:iCs/>
          <w:sz w:val="24"/>
        </w:rPr>
        <w:t>general</w:t>
      </w:r>
      <w:r w:rsidRPr="00F92F16">
        <w:rPr>
          <w:rFonts w:ascii="Times New Roman" w:hAnsi="Times New Roman"/>
          <w:bCs/>
          <w:sz w:val="24"/>
        </w:rPr>
        <w:t xml:space="preserve"> offence. As we have discussed elsewhere,</w:t>
      </w:r>
      <w:r w:rsidRPr="00F92F16">
        <w:rPr>
          <w:rFonts w:ascii="Times New Roman" w:hAnsi="Times New Roman"/>
          <w:bCs/>
          <w:sz w:val="24"/>
          <w:vertAlign w:val="superscript"/>
        </w:rPr>
        <w:footnoteReference w:id="28"/>
      </w:r>
      <w:r w:rsidRPr="00F92F16">
        <w:rPr>
          <w:rFonts w:ascii="Times New Roman" w:hAnsi="Times New Roman"/>
          <w:bCs/>
          <w:sz w:val="24"/>
        </w:rPr>
        <w:t xml:space="preserve"> if attempt is designed to punish those trying to (</w:t>
      </w:r>
      <w:r w:rsidR="001C5ED7">
        <w:rPr>
          <w:rFonts w:ascii="Times New Roman" w:hAnsi="Times New Roman"/>
          <w:bCs/>
          <w:sz w:val="24"/>
        </w:rPr>
        <w:t xml:space="preserve">i.e. </w:t>
      </w:r>
      <w:r w:rsidRPr="00F92F16">
        <w:rPr>
          <w:rFonts w:ascii="Times New Roman" w:hAnsi="Times New Roman"/>
          <w:bCs/>
          <w:sz w:val="24"/>
        </w:rPr>
        <w:t xml:space="preserve">intending to) commit an offence, then there is no basis for allowing anything less than intention as to every element of that offence. In </w:t>
      </w:r>
      <w:r w:rsidRPr="00F92F16">
        <w:rPr>
          <w:rFonts w:ascii="Times New Roman" w:hAnsi="Times New Roman"/>
          <w:bCs/>
          <w:i/>
          <w:iCs/>
          <w:sz w:val="24"/>
        </w:rPr>
        <w:t>Khan</w:t>
      </w:r>
      <w:r w:rsidRPr="00F92F16">
        <w:rPr>
          <w:rFonts w:ascii="Times New Roman" w:hAnsi="Times New Roman"/>
          <w:bCs/>
          <w:sz w:val="24"/>
        </w:rPr>
        <w:t xml:space="preserve">, D is not intending to rape, he is intending to sexually penetrate V aware of the </w:t>
      </w:r>
      <w:r w:rsidRPr="00F92F16">
        <w:rPr>
          <w:rFonts w:ascii="Times New Roman" w:hAnsi="Times New Roman"/>
          <w:bCs/>
          <w:i/>
          <w:iCs/>
          <w:sz w:val="24"/>
        </w:rPr>
        <w:t>possibility</w:t>
      </w:r>
      <w:r w:rsidR="009F42BC">
        <w:rPr>
          <w:rFonts w:ascii="Times New Roman" w:hAnsi="Times New Roman"/>
          <w:bCs/>
          <w:sz w:val="24"/>
        </w:rPr>
        <w:t xml:space="preserve"> that V is not consenting. D is </w:t>
      </w:r>
      <w:r w:rsidRPr="00F92F16">
        <w:rPr>
          <w:rFonts w:ascii="Times New Roman" w:hAnsi="Times New Roman"/>
          <w:bCs/>
          <w:sz w:val="24"/>
        </w:rPr>
        <w:t xml:space="preserve">reckless as to </w:t>
      </w:r>
      <w:r w:rsidR="009F42BC">
        <w:rPr>
          <w:rFonts w:ascii="Times New Roman" w:hAnsi="Times New Roman"/>
          <w:bCs/>
          <w:sz w:val="24"/>
        </w:rPr>
        <w:t>committing rape.</w:t>
      </w:r>
    </w:p>
    <w:p w:rsidR="001C5ED7" w:rsidRDefault="006C5928" w:rsidP="00122204">
      <w:pPr>
        <w:spacing w:line="360" w:lineRule="auto"/>
        <w:jc w:val="both"/>
        <w:rPr>
          <w:rFonts w:ascii="Times New Roman" w:hAnsi="Times New Roman"/>
          <w:bCs/>
          <w:sz w:val="24"/>
        </w:rPr>
      </w:pPr>
      <w:r>
        <w:rPr>
          <w:rFonts w:ascii="Times New Roman" w:hAnsi="Times New Roman"/>
          <w:bCs/>
          <w:sz w:val="24"/>
        </w:rPr>
        <w:t>Alternative</w:t>
      </w:r>
      <w:r w:rsidR="00C25DF9">
        <w:rPr>
          <w:rFonts w:ascii="Times New Roman" w:hAnsi="Times New Roman"/>
          <w:bCs/>
          <w:sz w:val="24"/>
        </w:rPr>
        <w:t>ly</w:t>
      </w:r>
      <w:r>
        <w:rPr>
          <w:rFonts w:ascii="Times New Roman" w:hAnsi="Times New Roman"/>
          <w:bCs/>
          <w:sz w:val="24"/>
        </w:rPr>
        <w:t xml:space="preserve">, </w:t>
      </w:r>
      <w:r w:rsidR="009F42BC">
        <w:rPr>
          <w:rFonts w:ascii="Times New Roman" w:hAnsi="Times New Roman"/>
          <w:bCs/>
          <w:sz w:val="24"/>
        </w:rPr>
        <w:t xml:space="preserve">if it were to be argued that </w:t>
      </w:r>
      <w:r w:rsidR="00553AD7">
        <w:rPr>
          <w:rFonts w:ascii="Times New Roman" w:hAnsi="Times New Roman"/>
          <w:bCs/>
          <w:sz w:val="24"/>
        </w:rPr>
        <w:t xml:space="preserve">criminal </w:t>
      </w:r>
      <w:r w:rsidR="009F42BC">
        <w:rPr>
          <w:rFonts w:ascii="Times New Roman" w:hAnsi="Times New Roman"/>
          <w:bCs/>
          <w:sz w:val="24"/>
        </w:rPr>
        <w:t>a</w:t>
      </w:r>
      <w:r w:rsidR="001C5ED7" w:rsidRPr="00F92F16">
        <w:rPr>
          <w:rFonts w:ascii="Times New Roman" w:hAnsi="Times New Roman"/>
          <w:bCs/>
          <w:sz w:val="24"/>
        </w:rPr>
        <w:t>tt</w:t>
      </w:r>
      <w:r w:rsidR="009F42BC">
        <w:rPr>
          <w:rFonts w:ascii="Times New Roman" w:hAnsi="Times New Roman"/>
          <w:bCs/>
          <w:sz w:val="24"/>
        </w:rPr>
        <w:t>empt is designed to punish those who knowingly risk</w:t>
      </w:r>
      <w:r w:rsidR="001C5ED7" w:rsidRPr="00F92F16">
        <w:rPr>
          <w:rFonts w:ascii="Times New Roman" w:hAnsi="Times New Roman"/>
          <w:bCs/>
          <w:sz w:val="24"/>
        </w:rPr>
        <w:t xml:space="preserve"> committing an offence, then</w:t>
      </w:r>
      <w:r w:rsidRPr="00553AD7">
        <w:rPr>
          <w:rFonts w:ascii="Times New Roman" w:hAnsi="Times New Roman"/>
          <w:bCs/>
          <w:sz w:val="24"/>
        </w:rPr>
        <w:t xml:space="preserve"> unlike </w:t>
      </w:r>
      <w:r w:rsidRPr="00553AD7">
        <w:rPr>
          <w:rFonts w:ascii="Times New Roman" w:hAnsi="Times New Roman"/>
          <w:bCs/>
          <w:i/>
          <w:sz w:val="24"/>
        </w:rPr>
        <w:t>Khan</w:t>
      </w:r>
      <w:r w:rsidRPr="00553AD7">
        <w:rPr>
          <w:rFonts w:ascii="Times New Roman" w:hAnsi="Times New Roman"/>
          <w:bCs/>
          <w:sz w:val="24"/>
        </w:rPr>
        <w:t xml:space="preserve">, surely </w:t>
      </w:r>
      <w:r w:rsidR="001C5ED7" w:rsidRPr="00F92F16">
        <w:rPr>
          <w:rFonts w:ascii="Times New Roman" w:hAnsi="Times New Roman"/>
          <w:bCs/>
          <w:sz w:val="24"/>
        </w:rPr>
        <w:t>the possibility of recklessness must logically be extended to result elements as well.</w:t>
      </w:r>
      <w:r w:rsidR="001C5ED7" w:rsidRPr="00553AD7">
        <w:rPr>
          <w:rFonts w:ascii="Times New Roman" w:hAnsi="Times New Roman"/>
          <w:bCs/>
          <w:sz w:val="24"/>
        </w:rPr>
        <w:t xml:space="preserve"> Take the example of attempted criminal damage. D1 intentionally breaks property that belongs to him, but is reckless as to ownership; thus risking committing the principal offence because he foresees the chance it might not be his. D2 risks breaking property that he knows belongs to another but the property is not damaged; thus risking committing the principal offence because he foresees the chance that the property might be damaged. </w:t>
      </w:r>
      <w:r w:rsidR="001C5ED7" w:rsidRPr="00F92F16">
        <w:rPr>
          <w:rFonts w:ascii="Times New Roman" w:hAnsi="Times New Roman"/>
          <w:bCs/>
          <w:sz w:val="24"/>
        </w:rPr>
        <w:t>Both examples involve the actus reus o</w:t>
      </w:r>
      <w:r w:rsidR="001C5ED7" w:rsidRPr="00553AD7">
        <w:rPr>
          <w:rFonts w:ascii="Times New Roman" w:hAnsi="Times New Roman"/>
          <w:bCs/>
          <w:sz w:val="24"/>
        </w:rPr>
        <w:t xml:space="preserve">f attempted criminal damage. </w:t>
      </w:r>
      <w:r w:rsidR="00122204">
        <w:rPr>
          <w:rFonts w:ascii="Times New Roman" w:hAnsi="Times New Roman"/>
          <w:bCs/>
          <w:sz w:val="24"/>
        </w:rPr>
        <w:t>Both</w:t>
      </w:r>
      <w:r w:rsidR="001C5ED7" w:rsidRPr="00553AD7">
        <w:rPr>
          <w:rFonts w:ascii="Times New Roman" w:hAnsi="Times New Roman"/>
          <w:bCs/>
          <w:sz w:val="24"/>
        </w:rPr>
        <w:t xml:space="preserve"> defendants </w:t>
      </w:r>
      <w:r w:rsidR="00122204">
        <w:rPr>
          <w:rFonts w:ascii="Times New Roman" w:hAnsi="Times New Roman"/>
          <w:bCs/>
          <w:sz w:val="24"/>
        </w:rPr>
        <w:t>are</w:t>
      </w:r>
      <w:r w:rsidR="001C5ED7" w:rsidRPr="00F92F16">
        <w:rPr>
          <w:rFonts w:ascii="Times New Roman" w:hAnsi="Times New Roman"/>
          <w:bCs/>
          <w:sz w:val="24"/>
        </w:rPr>
        <w:t xml:space="preserve"> aware of a </w:t>
      </w:r>
      <w:r w:rsidR="001C5ED7" w:rsidRPr="00F92F16">
        <w:rPr>
          <w:rFonts w:ascii="Times New Roman" w:hAnsi="Times New Roman"/>
          <w:bCs/>
          <w:i/>
          <w:iCs/>
          <w:sz w:val="24"/>
        </w:rPr>
        <w:t>risk</w:t>
      </w:r>
      <w:r w:rsidR="001C5ED7" w:rsidRPr="00553AD7">
        <w:rPr>
          <w:rFonts w:ascii="Times New Roman" w:hAnsi="Times New Roman"/>
          <w:bCs/>
          <w:sz w:val="24"/>
        </w:rPr>
        <w:t xml:space="preserve"> of committing the</w:t>
      </w:r>
      <w:r w:rsidR="00122204">
        <w:rPr>
          <w:rFonts w:ascii="Times New Roman" w:hAnsi="Times New Roman"/>
          <w:bCs/>
          <w:sz w:val="24"/>
        </w:rPr>
        <w:t xml:space="preserve"> principal</w:t>
      </w:r>
      <w:r w:rsidR="001C5ED7" w:rsidRPr="00553AD7">
        <w:rPr>
          <w:rFonts w:ascii="Times New Roman" w:hAnsi="Times New Roman"/>
          <w:bCs/>
          <w:sz w:val="24"/>
        </w:rPr>
        <w:t xml:space="preserve"> offence. Y</w:t>
      </w:r>
      <w:r w:rsidR="001C5ED7" w:rsidRPr="00F92F16">
        <w:rPr>
          <w:rFonts w:ascii="Times New Roman" w:hAnsi="Times New Roman"/>
          <w:bCs/>
          <w:sz w:val="24"/>
        </w:rPr>
        <w:t xml:space="preserve">et the </w:t>
      </w:r>
      <w:r w:rsidR="001C5ED7" w:rsidRPr="00F92F16">
        <w:rPr>
          <w:rFonts w:ascii="Times New Roman" w:hAnsi="Times New Roman"/>
          <w:bCs/>
          <w:i/>
          <w:iCs/>
          <w:sz w:val="24"/>
        </w:rPr>
        <w:t>Khan</w:t>
      </w:r>
      <w:r w:rsidR="001C5ED7" w:rsidRPr="00F92F16">
        <w:rPr>
          <w:rFonts w:ascii="Times New Roman" w:hAnsi="Times New Roman"/>
          <w:bCs/>
          <w:sz w:val="24"/>
        </w:rPr>
        <w:t xml:space="preserve"> approach would treat them differently.</w:t>
      </w:r>
      <w:r w:rsidR="001C5ED7" w:rsidRPr="00553AD7">
        <w:rPr>
          <w:rFonts w:ascii="Times New Roman" w:hAnsi="Times New Roman"/>
          <w:bCs/>
          <w:sz w:val="24"/>
        </w:rPr>
        <w:t xml:space="preserve"> It will</w:t>
      </w:r>
      <w:r w:rsidR="00553AD7">
        <w:rPr>
          <w:rFonts w:ascii="Times New Roman" w:hAnsi="Times New Roman"/>
          <w:bCs/>
          <w:sz w:val="24"/>
        </w:rPr>
        <w:t xml:space="preserve"> (bizarrely)</w:t>
      </w:r>
      <w:r w:rsidR="001C5ED7" w:rsidRPr="00553AD7">
        <w:rPr>
          <w:rFonts w:ascii="Times New Roman" w:hAnsi="Times New Roman"/>
          <w:bCs/>
          <w:sz w:val="24"/>
        </w:rPr>
        <w:t xml:space="preserve"> find D1 criminally liable, since D1 was reckless as to </w:t>
      </w:r>
      <w:r w:rsidR="00553AD7">
        <w:rPr>
          <w:rFonts w:ascii="Times New Roman" w:hAnsi="Times New Roman"/>
          <w:bCs/>
          <w:sz w:val="24"/>
        </w:rPr>
        <w:t xml:space="preserve">a </w:t>
      </w:r>
      <w:r w:rsidR="001C5ED7" w:rsidRPr="00553AD7">
        <w:rPr>
          <w:rFonts w:ascii="Times New Roman" w:hAnsi="Times New Roman"/>
          <w:bCs/>
          <w:sz w:val="24"/>
        </w:rPr>
        <w:t>circumstance, whereas D2 will be acquitted since he was reckless as to</w:t>
      </w:r>
      <w:r w:rsidR="00553AD7">
        <w:rPr>
          <w:rFonts w:ascii="Times New Roman" w:hAnsi="Times New Roman"/>
          <w:bCs/>
          <w:sz w:val="24"/>
        </w:rPr>
        <w:t xml:space="preserve"> a result</w:t>
      </w:r>
      <w:r w:rsidR="001C5ED7" w:rsidRPr="00553AD7">
        <w:rPr>
          <w:rFonts w:ascii="Times New Roman" w:hAnsi="Times New Roman"/>
          <w:bCs/>
          <w:sz w:val="24"/>
        </w:rPr>
        <w:t>.</w:t>
      </w:r>
    </w:p>
    <w:p w:rsidR="006C5928" w:rsidRDefault="006C5928" w:rsidP="001C5ED7">
      <w:pPr>
        <w:spacing w:line="360" w:lineRule="auto"/>
        <w:jc w:val="both"/>
        <w:rPr>
          <w:rFonts w:ascii="Times New Roman" w:hAnsi="Times New Roman"/>
          <w:bCs/>
          <w:sz w:val="24"/>
        </w:rPr>
      </w:pPr>
      <w:r>
        <w:rPr>
          <w:rFonts w:ascii="Times New Roman" w:hAnsi="Times New Roman"/>
          <w:bCs/>
          <w:sz w:val="24"/>
        </w:rPr>
        <w:t xml:space="preserve">Therefore even if one was to favour an approach to attempt which included recklessness, the approach set out in </w:t>
      </w:r>
      <w:r w:rsidRPr="006C5928">
        <w:rPr>
          <w:rFonts w:ascii="Times New Roman" w:hAnsi="Times New Roman"/>
          <w:bCs/>
          <w:i/>
          <w:sz w:val="24"/>
        </w:rPr>
        <w:t>Khan</w:t>
      </w:r>
      <w:r>
        <w:rPr>
          <w:rFonts w:ascii="Times New Roman" w:hAnsi="Times New Roman"/>
          <w:bCs/>
          <w:sz w:val="24"/>
        </w:rPr>
        <w:t xml:space="preserve"> is not a coherent option. </w:t>
      </w:r>
    </w:p>
    <w:p w:rsidR="00A00C4F" w:rsidRPr="001D283F" w:rsidRDefault="00A00C4F" w:rsidP="001C5ED7">
      <w:pPr>
        <w:spacing w:line="360" w:lineRule="auto"/>
        <w:jc w:val="both"/>
        <w:rPr>
          <w:rFonts w:ascii="Times New Roman" w:hAnsi="Times New Roman"/>
          <w:bCs/>
          <w:sz w:val="24"/>
        </w:rPr>
      </w:pPr>
    </w:p>
    <w:p w:rsidR="00644BAB" w:rsidRPr="009C3BBA" w:rsidRDefault="00644BAB" w:rsidP="00046120">
      <w:pPr>
        <w:spacing w:line="360" w:lineRule="auto"/>
        <w:jc w:val="both"/>
        <w:rPr>
          <w:rFonts w:ascii="Times New Roman" w:hAnsi="Times New Roman"/>
          <w:b/>
          <w:bCs/>
          <w:sz w:val="24"/>
        </w:rPr>
      </w:pPr>
      <w:r w:rsidRPr="009C3BBA">
        <w:rPr>
          <w:rFonts w:ascii="Times New Roman" w:hAnsi="Times New Roman"/>
          <w:b/>
          <w:bCs/>
          <w:sz w:val="24"/>
        </w:rPr>
        <w:t xml:space="preserve">Generalising </w:t>
      </w:r>
      <w:r w:rsidRPr="009C3BBA">
        <w:rPr>
          <w:rFonts w:ascii="Times New Roman" w:hAnsi="Times New Roman"/>
          <w:b/>
          <w:bCs/>
          <w:i/>
          <w:sz w:val="24"/>
        </w:rPr>
        <w:t>Pace and Rogers</w:t>
      </w:r>
      <w:r w:rsidR="009C3BBA">
        <w:rPr>
          <w:rFonts w:ascii="Times New Roman" w:hAnsi="Times New Roman"/>
          <w:b/>
          <w:bCs/>
          <w:sz w:val="24"/>
        </w:rPr>
        <w:t>?</w:t>
      </w:r>
    </w:p>
    <w:p w:rsidR="000E1BFA" w:rsidRDefault="00357039" w:rsidP="00357039">
      <w:pPr>
        <w:spacing w:line="360" w:lineRule="auto"/>
        <w:jc w:val="both"/>
        <w:rPr>
          <w:rFonts w:ascii="Times New Roman" w:hAnsi="Times New Roman"/>
          <w:sz w:val="24"/>
        </w:rPr>
      </w:pPr>
      <w:r w:rsidRPr="00357039">
        <w:rPr>
          <w:rFonts w:ascii="Times New Roman" w:hAnsi="Times New Roman"/>
          <w:sz w:val="24"/>
        </w:rPr>
        <w:t>It is contended that</w:t>
      </w:r>
      <w:r w:rsidR="009C3BBA">
        <w:rPr>
          <w:rFonts w:ascii="Times New Roman" w:hAnsi="Times New Roman"/>
          <w:sz w:val="24"/>
        </w:rPr>
        <w:t xml:space="preserve"> the approach to be preferred is to require</w:t>
      </w:r>
      <w:r w:rsidRPr="00357039">
        <w:rPr>
          <w:rFonts w:ascii="Times New Roman" w:hAnsi="Times New Roman"/>
          <w:sz w:val="24"/>
        </w:rPr>
        <w:t xml:space="preserve"> D to intend or know every element of a pr</w:t>
      </w:r>
      <w:r w:rsidR="009C3BBA">
        <w:rPr>
          <w:rFonts w:ascii="Times New Roman" w:hAnsi="Times New Roman"/>
          <w:sz w:val="24"/>
        </w:rPr>
        <w:t xml:space="preserve">incipal offence before attempt </w:t>
      </w:r>
      <w:r w:rsidRPr="00357039">
        <w:rPr>
          <w:rFonts w:ascii="Times New Roman" w:hAnsi="Times New Roman"/>
          <w:sz w:val="24"/>
        </w:rPr>
        <w:t>liability is found</w:t>
      </w:r>
      <w:r w:rsidR="009C3BBA">
        <w:rPr>
          <w:rFonts w:ascii="Times New Roman" w:hAnsi="Times New Roman"/>
          <w:sz w:val="24"/>
        </w:rPr>
        <w:t>ed</w:t>
      </w:r>
      <w:r w:rsidRPr="00357039">
        <w:rPr>
          <w:rFonts w:ascii="Times New Roman" w:hAnsi="Times New Roman"/>
          <w:sz w:val="24"/>
        </w:rPr>
        <w:t>.</w:t>
      </w:r>
      <w:r w:rsidR="00AA3183">
        <w:rPr>
          <w:rFonts w:ascii="Times New Roman" w:hAnsi="Times New Roman"/>
          <w:sz w:val="24"/>
        </w:rPr>
        <w:t xml:space="preserve"> </w:t>
      </w:r>
      <w:r w:rsidR="00AA3183" w:rsidRPr="00AA3183">
        <w:rPr>
          <w:rFonts w:ascii="Times New Roman" w:hAnsi="Times New Roman"/>
          <w:sz w:val="24"/>
        </w:rPr>
        <w:t>Of course i</w:t>
      </w:r>
      <w:r w:rsidR="009C3BBA" w:rsidRPr="00AA3183">
        <w:rPr>
          <w:rFonts w:ascii="Times New Roman" w:hAnsi="Times New Roman"/>
          <w:sz w:val="24"/>
        </w:rPr>
        <w:t>t will be objected that</w:t>
      </w:r>
      <w:r w:rsidRPr="00357039">
        <w:rPr>
          <w:rFonts w:ascii="Times New Roman" w:hAnsi="Times New Roman"/>
          <w:sz w:val="24"/>
        </w:rPr>
        <w:t xml:space="preserve"> </w:t>
      </w:r>
      <w:r w:rsidR="009C3BBA" w:rsidRPr="00AA3183">
        <w:rPr>
          <w:rFonts w:ascii="Times New Roman" w:hAnsi="Times New Roman"/>
          <w:sz w:val="24"/>
        </w:rPr>
        <w:t xml:space="preserve">this approach </w:t>
      </w:r>
      <w:r w:rsidRPr="00357039">
        <w:rPr>
          <w:rFonts w:ascii="Times New Roman" w:hAnsi="Times New Roman"/>
          <w:sz w:val="24"/>
        </w:rPr>
        <w:t xml:space="preserve">would </w:t>
      </w:r>
      <w:r w:rsidR="009C3BBA" w:rsidRPr="00AA3183">
        <w:rPr>
          <w:rFonts w:ascii="Times New Roman" w:hAnsi="Times New Roman"/>
          <w:sz w:val="24"/>
        </w:rPr>
        <w:t xml:space="preserve">mean that </w:t>
      </w:r>
      <w:r w:rsidR="009C3BBA" w:rsidRPr="00AA3183">
        <w:rPr>
          <w:rFonts w:ascii="Times New Roman" w:hAnsi="Times New Roman"/>
          <w:i/>
          <w:sz w:val="24"/>
        </w:rPr>
        <w:t>Khan</w:t>
      </w:r>
      <w:r w:rsidR="009C3BBA" w:rsidRPr="00AA3183">
        <w:rPr>
          <w:rFonts w:ascii="Times New Roman" w:hAnsi="Times New Roman"/>
          <w:sz w:val="24"/>
        </w:rPr>
        <w:t xml:space="preserve"> would not be convicted</w:t>
      </w:r>
      <w:r w:rsidR="00AA3183" w:rsidRPr="00AA3183">
        <w:rPr>
          <w:rFonts w:ascii="Times New Roman" w:hAnsi="Times New Roman"/>
          <w:sz w:val="24"/>
        </w:rPr>
        <w:t xml:space="preserve"> of attempted </w:t>
      </w:r>
      <w:r w:rsidR="00AA3183" w:rsidRPr="00AA3183">
        <w:rPr>
          <w:rFonts w:ascii="Times New Roman" w:hAnsi="Times New Roman"/>
          <w:sz w:val="24"/>
        </w:rPr>
        <w:lastRenderedPageBreak/>
        <w:t>rape.</w:t>
      </w:r>
      <w:r w:rsidRPr="00AA3183">
        <w:rPr>
          <w:rFonts w:ascii="Times New Roman" w:hAnsi="Times New Roman"/>
          <w:sz w:val="24"/>
          <w:vertAlign w:val="superscript"/>
        </w:rPr>
        <w:footnoteReference w:id="29"/>
      </w:r>
      <w:r w:rsidRPr="00357039">
        <w:rPr>
          <w:rFonts w:ascii="Times New Roman" w:hAnsi="Times New Roman"/>
          <w:sz w:val="24"/>
        </w:rPr>
        <w:t xml:space="preserve"> This is not to say that a defendant such as </w:t>
      </w:r>
      <w:r w:rsidRPr="00357039">
        <w:rPr>
          <w:rFonts w:ascii="Times New Roman" w:hAnsi="Times New Roman"/>
          <w:i/>
          <w:iCs/>
          <w:sz w:val="24"/>
        </w:rPr>
        <w:t xml:space="preserve">Khan </w:t>
      </w:r>
      <w:r w:rsidRPr="00357039">
        <w:rPr>
          <w:rFonts w:ascii="Times New Roman" w:hAnsi="Times New Roman"/>
          <w:sz w:val="24"/>
        </w:rPr>
        <w:t>would be free from liability for other sexual offences,</w:t>
      </w:r>
      <w:r w:rsidRPr="00AA3183">
        <w:rPr>
          <w:rFonts w:ascii="Times New Roman" w:hAnsi="Times New Roman"/>
          <w:sz w:val="24"/>
          <w:vertAlign w:val="superscript"/>
        </w:rPr>
        <w:footnoteReference w:id="30"/>
      </w:r>
      <w:r w:rsidR="00AA3183" w:rsidRPr="00AA3183">
        <w:rPr>
          <w:rFonts w:ascii="Times New Roman" w:hAnsi="Times New Roman"/>
          <w:sz w:val="24"/>
        </w:rPr>
        <w:t xml:space="preserve"> but there</w:t>
      </w:r>
      <w:r w:rsidRPr="00357039">
        <w:rPr>
          <w:rFonts w:ascii="Times New Roman" w:hAnsi="Times New Roman"/>
          <w:sz w:val="24"/>
        </w:rPr>
        <w:t xml:space="preserve"> would be</w:t>
      </w:r>
      <w:r w:rsidR="00AA3183" w:rsidRPr="00AA3183">
        <w:rPr>
          <w:rFonts w:ascii="Times New Roman" w:hAnsi="Times New Roman"/>
          <w:sz w:val="24"/>
        </w:rPr>
        <w:t xml:space="preserve"> no liability </w:t>
      </w:r>
      <w:r w:rsidRPr="00357039">
        <w:rPr>
          <w:rFonts w:ascii="Times New Roman" w:hAnsi="Times New Roman"/>
          <w:sz w:val="24"/>
        </w:rPr>
        <w:t>for attempted rape.</w:t>
      </w:r>
      <w:r w:rsidR="00AA3183">
        <w:rPr>
          <w:rFonts w:ascii="Times New Roman" w:hAnsi="Times New Roman"/>
          <w:sz w:val="24"/>
        </w:rPr>
        <w:t xml:space="preserve"> </w:t>
      </w:r>
    </w:p>
    <w:p w:rsidR="00357039" w:rsidRPr="00357039" w:rsidRDefault="00AA3183" w:rsidP="00357039">
      <w:pPr>
        <w:spacing w:line="360" w:lineRule="auto"/>
        <w:jc w:val="both"/>
        <w:rPr>
          <w:rFonts w:ascii="Times New Roman" w:hAnsi="Times New Roman"/>
          <w:sz w:val="24"/>
        </w:rPr>
      </w:pPr>
      <w:r>
        <w:rPr>
          <w:rFonts w:ascii="Times New Roman" w:hAnsi="Times New Roman"/>
          <w:sz w:val="24"/>
        </w:rPr>
        <w:t xml:space="preserve">We would </w:t>
      </w:r>
      <w:r w:rsidR="007A4363">
        <w:rPr>
          <w:rFonts w:ascii="Times New Roman" w:hAnsi="Times New Roman"/>
          <w:sz w:val="24"/>
        </w:rPr>
        <w:t>argue that an intention/knowledge based</w:t>
      </w:r>
      <w:r>
        <w:rPr>
          <w:rFonts w:ascii="Times New Roman" w:hAnsi="Times New Roman"/>
          <w:sz w:val="24"/>
        </w:rPr>
        <w:t xml:space="preserve"> </w:t>
      </w:r>
      <w:r w:rsidR="000E1BFA">
        <w:rPr>
          <w:rFonts w:ascii="Times New Roman" w:hAnsi="Times New Roman"/>
          <w:sz w:val="24"/>
        </w:rPr>
        <w:t>approach is the only one which properly marries the wording of the CAA</w:t>
      </w:r>
      <w:r w:rsidR="007A4363">
        <w:rPr>
          <w:rFonts w:ascii="Times New Roman" w:hAnsi="Times New Roman"/>
          <w:sz w:val="24"/>
        </w:rPr>
        <w:t xml:space="preserve"> </w:t>
      </w:r>
      <w:r w:rsidR="000E1BFA">
        <w:rPr>
          <w:rFonts w:ascii="Times New Roman" w:hAnsi="Times New Roman"/>
          <w:sz w:val="24"/>
        </w:rPr>
        <w:t>with the achievement of</w:t>
      </w:r>
      <w:r w:rsidR="000E1BFA" w:rsidRPr="00357039">
        <w:rPr>
          <w:rFonts w:ascii="Times New Roman" w:hAnsi="Times New Roman"/>
          <w:sz w:val="24"/>
        </w:rPr>
        <w:t xml:space="preserve"> a coherent model of attempts liability</w:t>
      </w:r>
      <w:r w:rsidR="000E1BFA">
        <w:rPr>
          <w:rFonts w:ascii="Times New Roman" w:hAnsi="Times New Roman"/>
          <w:sz w:val="24"/>
        </w:rPr>
        <w:t xml:space="preserve">. </w:t>
      </w:r>
      <w:r w:rsidR="00357039" w:rsidRPr="00357039">
        <w:rPr>
          <w:rFonts w:ascii="Times New Roman" w:hAnsi="Times New Roman"/>
          <w:sz w:val="24"/>
        </w:rPr>
        <w:t xml:space="preserve">It avoids inconsistency between possible and impossible attempts; and avoids the complexity and incoherence of the </w:t>
      </w:r>
      <w:r w:rsidR="00357039" w:rsidRPr="00357039">
        <w:rPr>
          <w:rFonts w:ascii="Times New Roman" w:hAnsi="Times New Roman"/>
          <w:i/>
          <w:iCs/>
          <w:sz w:val="24"/>
        </w:rPr>
        <w:t>Khan</w:t>
      </w:r>
      <w:r w:rsidR="00357039" w:rsidRPr="00357039">
        <w:rPr>
          <w:rFonts w:ascii="Times New Roman" w:hAnsi="Times New Roman"/>
          <w:sz w:val="24"/>
        </w:rPr>
        <w:t xml:space="preserve"> approach. The CAA locates the wrong of attempt as acting with the ‘intent’ to commit an offence</w:t>
      </w:r>
      <w:r w:rsidR="000E1BFA">
        <w:rPr>
          <w:rFonts w:ascii="Times New Roman" w:hAnsi="Times New Roman"/>
          <w:sz w:val="24"/>
        </w:rPr>
        <w:t>. T</w:t>
      </w:r>
      <w:r w:rsidR="00357039" w:rsidRPr="00357039">
        <w:rPr>
          <w:rFonts w:ascii="Times New Roman" w:hAnsi="Times New Roman"/>
          <w:sz w:val="24"/>
        </w:rPr>
        <w:t xml:space="preserve">his approach isolates that wrong. </w:t>
      </w:r>
    </w:p>
    <w:p w:rsidR="001C5ED7" w:rsidRPr="009429A2" w:rsidRDefault="00357039" w:rsidP="00754910">
      <w:pPr>
        <w:spacing w:line="360" w:lineRule="auto"/>
        <w:jc w:val="both"/>
        <w:rPr>
          <w:rFonts w:ascii="Times New Roman" w:hAnsi="Times New Roman"/>
          <w:sz w:val="24"/>
        </w:rPr>
      </w:pPr>
      <w:r w:rsidRPr="00357039">
        <w:rPr>
          <w:rFonts w:ascii="Times New Roman" w:hAnsi="Times New Roman"/>
          <w:sz w:val="24"/>
        </w:rPr>
        <w:t xml:space="preserve">It is hoped that this approach will be </w:t>
      </w:r>
      <w:r w:rsidR="00122204">
        <w:rPr>
          <w:rFonts w:ascii="Times New Roman" w:hAnsi="Times New Roman"/>
          <w:sz w:val="24"/>
        </w:rPr>
        <w:t xml:space="preserve">adopted by the Supreme Court if and </w:t>
      </w:r>
      <w:r w:rsidRPr="00357039">
        <w:rPr>
          <w:rFonts w:ascii="Times New Roman" w:hAnsi="Times New Roman"/>
          <w:sz w:val="24"/>
        </w:rPr>
        <w:t xml:space="preserve">when </w:t>
      </w:r>
      <w:r w:rsidRPr="00357039">
        <w:rPr>
          <w:rFonts w:ascii="Times New Roman" w:hAnsi="Times New Roman"/>
          <w:i/>
          <w:iCs/>
          <w:sz w:val="24"/>
        </w:rPr>
        <w:t>Pace and Rogers</w:t>
      </w:r>
      <w:r w:rsidR="009429A2">
        <w:rPr>
          <w:rFonts w:ascii="Times New Roman" w:hAnsi="Times New Roman"/>
          <w:sz w:val="24"/>
        </w:rPr>
        <w:t xml:space="preserve"> is appealed.</w:t>
      </w:r>
      <w:r w:rsidR="00122204">
        <w:rPr>
          <w:rFonts w:ascii="Times New Roman" w:hAnsi="Times New Roman"/>
          <w:sz w:val="24"/>
        </w:rPr>
        <w:t xml:space="preserve"> This is not to say that the intention/knowledge approach is necessarily the ideal approach to the mens rea for inchoate offences</w:t>
      </w:r>
      <w:r w:rsidR="00754910">
        <w:rPr>
          <w:rFonts w:ascii="Times New Roman" w:hAnsi="Times New Roman"/>
          <w:sz w:val="24"/>
        </w:rPr>
        <w:t>, but we believe it is the best approach available to the court</w:t>
      </w:r>
      <w:r w:rsidR="00122204">
        <w:rPr>
          <w:rFonts w:ascii="Times New Roman" w:hAnsi="Times New Roman"/>
          <w:sz w:val="24"/>
        </w:rPr>
        <w:t xml:space="preserve">. </w:t>
      </w:r>
      <w:r w:rsidR="00754910">
        <w:rPr>
          <w:rFonts w:ascii="Times New Roman" w:hAnsi="Times New Roman"/>
          <w:sz w:val="24"/>
        </w:rPr>
        <w:t>A</w:t>
      </w:r>
      <w:r w:rsidR="00122204">
        <w:rPr>
          <w:rFonts w:ascii="Times New Roman" w:hAnsi="Times New Roman"/>
          <w:sz w:val="24"/>
        </w:rPr>
        <w:t xml:space="preserve">longside </w:t>
      </w:r>
      <w:r w:rsidR="00754910">
        <w:rPr>
          <w:rFonts w:ascii="Times New Roman" w:hAnsi="Times New Roman"/>
          <w:sz w:val="24"/>
        </w:rPr>
        <w:t>this</w:t>
      </w:r>
      <w:r w:rsidR="00122204">
        <w:rPr>
          <w:rFonts w:ascii="Times New Roman" w:hAnsi="Times New Roman"/>
          <w:sz w:val="24"/>
        </w:rPr>
        <w:t xml:space="preserve"> </w:t>
      </w:r>
      <w:r w:rsidR="00754910">
        <w:rPr>
          <w:rFonts w:ascii="Times New Roman" w:hAnsi="Times New Roman"/>
          <w:sz w:val="24"/>
        </w:rPr>
        <w:t>recommendation</w:t>
      </w:r>
      <w:r w:rsidR="00122204">
        <w:rPr>
          <w:rFonts w:ascii="Times New Roman" w:hAnsi="Times New Roman"/>
          <w:sz w:val="24"/>
        </w:rPr>
        <w:t>,</w:t>
      </w:r>
      <w:r w:rsidR="00754910">
        <w:rPr>
          <w:rFonts w:ascii="Times New Roman" w:hAnsi="Times New Roman"/>
          <w:sz w:val="24"/>
        </w:rPr>
        <w:t xml:space="preserve"> </w:t>
      </w:r>
      <w:r w:rsidR="00122204">
        <w:rPr>
          <w:rFonts w:ascii="Times New Roman" w:hAnsi="Times New Roman"/>
          <w:sz w:val="24"/>
        </w:rPr>
        <w:t xml:space="preserve">it </w:t>
      </w:r>
      <w:r w:rsidR="00754910">
        <w:rPr>
          <w:rFonts w:ascii="Times New Roman" w:hAnsi="Times New Roman"/>
          <w:sz w:val="24"/>
        </w:rPr>
        <w:t>is</w:t>
      </w:r>
      <w:r w:rsidR="00122204">
        <w:rPr>
          <w:rFonts w:ascii="Times New Roman" w:hAnsi="Times New Roman"/>
          <w:sz w:val="24"/>
        </w:rPr>
        <w:t xml:space="preserve"> </w:t>
      </w:r>
      <w:r w:rsidR="00754910">
        <w:rPr>
          <w:rFonts w:ascii="Times New Roman" w:hAnsi="Times New Roman"/>
          <w:sz w:val="24"/>
        </w:rPr>
        <w:t>contended</w:t>
      </w:r>
      <w:r w:rsidR="00122204">
        <w:rPr>
          <w:rFonts w:ascii="Times New Roman" w:hAnsi="Times New Roman"/>
          <w:sz w:val="24"/>
        </w:rPr>
        <w:t xml:space="preserve"> that</w:t>
      </w:r>
      <w:r w:rsidR="00174688">
        <w:rPr>
          <w:rFonts w:ascii="Times New Roman" w:hAnsi="Times New Roman"/>
          <w:sz w:val="24"/>
        </w:rPr>
        <w:t xml:space="preserve"> </w:t>
      </w:r>
      <w:r w:rsidRPr="00357039">
        <w:rPr>
          <w:rFonts w:ascii="Times New Roman" w:hAnsi="Times New Roman"/>
          <w:sz w:val="24"/>
        </w:rPr>
        <w:t xml:space="preserve">the potential for </w:t>
      </w:r>
      <w:r w:rsidR="00174688">
        <w:rPr>
          <w:rFonts w:ascii="Times New Roman" w:hAnsi="Times New Roman"/>
          <w:sz w:val="24"/>
        </w:rPr>
        <w:t xml:space="preserve">more fundamental </w:t>
      </w:r>
      <w:r w:rsidRPr="00357039">
        <w:rPr>
          <w:rFonts w:ascii="Times New Roman" w:hAnsi="Times New Roman"/>
          <w:sz w:val="24"/>
        </w:rPr>
        <w:t>statutory reform of attempts</w:t>
      </w:r>
      <w:r w:rsidR="00174688">
        <w:rPr>
          <w:rFonts w:ascii="Times New Roman" w:hAnsi="Times New Roman"/>
          <w:sz w:val="24"/>
        </w:rPr>
        <w:t xml:space="preserve"> liability in </w:t>
      </w:r>
      <w:r w:rsidR="00E56C94">
        <w:rPr>
          <w:rFonts w:ascii="Times New Roman" w:hAnsi="Times New Roman"/>
          <w:sz w:val="24"/>
        </w:rPr>
        <w:t xml:space="preserve">the </w:t>
      </w:r>
      <w:r w:rsidR="00174688">
        <w:rPr>
          <w:rFonts w:ascii="Times New Roman" w:hAnsi="Times New Roman"/>
          <w:sz w:val="24"/>
        </w:rPr>
        <w:t xml:space="preserve">future should not be ruled out. </w:t>
      </w:r>
      <w:r w:rsidR="00122204">
        <w:rPr>
          <w:rFonts w:ascii="Times New Roman" w:hAnsi="Times New Roman"/>
          <w:sz w:val="24"/>
        </w:rPr>
        <w:t xml:space="preserve">We have argued elsewhere </w:t>
      </w:r>
      <w:r w:rsidR="00122204" w:rsidRPr="00357039">
        <w:rPr>
          <w:rFonts w:ascii="Times New Roman" w:hAnsi="Times New Roman"/>
          <w:sz w:val="24"/>
        </w:rPr>
        <w:t>that the mens rea for inchoate offen</w:t>
      </w:r>
      <w:r w:rsidR="00122204">
        <w:rPr>
          <w:rFonts w:ascii="Times New Roman" w:hAnsi="Times New Roman"/>
          <w:sz w:val="24"/>
        </w:rPr>
        <w:t>ces should be reformed to be based on ‘belief’;</w:t>
      </w:r>
      <w:r w:rsidR="00122204" w:rsidRPr="00174688">
        <w:rPr>
          <w:rFonts w:ascii="Times New Roman" w:hAnsi="Times New Roman"/>
          <w:sz w:val="24"/>
          <w:vertAlign w:val="superscript"/>
        </w:rPr>
        <w:footnoteReference w:id="31"/>
      </w:r>
      <w:r w:rsidR="00122204">
        <w:rPr>
          <w:rFonts w:ascii="Times New Roman" w:hAnsi="Times New Roman"/>
          <w:sz w:val="24"/>
        </w:rPr>
        <w:t xml:space="preserve"> </w:t>
      </w:r>
      <w:r w:rsidR="009429A2">
        <w:rPr>
          <w:rFonts w:ascii="Times New Roman" w:hAnsi="Times New Roman"/>
          <w:sz w:val="24"/>
        </w:rPr>
        <w:t xml:space="preserve">the Law Commission have tried </w:t>
      </w:r>
      <w:r w:rsidR="009429A2" w:rsidRPr="00357039">
        <w:rPr>
          <w:rFonts w:ascii="Times New Roman" w:hAnsi="Times New Roman"/>
          <w:sz w:val="24"/>
        </w:rPr>
        <w:t xml:space="preserve">to codify a </w:t>
      </w:r>
      <w:r w:rsidR="009429A2" w:rsidRPr="00357039">
        <w:rPr>
          <w:rFonts w:ascii="Times New Roman" w:hAnsi="Times New Roman"/>
          <w:i/>
          <w:iCs/>
          <w:sz w:val="24"/>
        </w:rPr>
        <w:t>Khan</w:t>
      </w:r>
      <w:r w:rsidR="009429A2" w:rsidRPr="00357039">
        <w:rPr>
          <w:rFonts w:ascii="Times New Roman" w:hAnsi="Times New Roman"/>
          <w:sz w:val="24"/>
        </w:rPr>
        <w:t>-like approach;</w:t>
      </w:r>
      <w:r w:rsidR="009429A2" w:rsidRPr="00357039">
        <w:rPr>
          <w:rFonts w:ascii="Times New Roman" w:hAnsi="Times New Roman"/>
          <w:sz w:val="24"/>
          <w:vertAlign w:val="superscript"/>
        </w:rPr>
        <w:footnoteReference w:id="32"/>
      </w:r>
      <w:r w:rsidR="009429A2" w:rsidRPr="00357039">
        <w:rPr>
          <w:rFonts w:ascii="Times New Roman" w:hAnsi="Times New Roman"/>
          <w:sz w:val="24"/>
        </w:rPr>
        <w:t xml:space="preserve"> the Irish Law Reform Commission </w:t>
      </w:r>
      <w:r w:rsidR="009429A2">
        <w:rPr>
          <w:rFonts w:ascii="Times New Roman" w:hAnsi="Times New Roman"/>
          <w:sz w:val="24"/>
        </w:rPr>
        <w:t>contend t</w:t>
      </w:r>
      <w:r w:rsidR="009429A2" w:rsidRPr="00357039">
        <w:rPr>
          <w:rFonts w:ascii="Times New Roman" w:hAnsi="Times New Roman"/>
          <w:sz w:val="24"/>
        </w:rPr>
        <w:t>hat inchoate mens rea should mirror the mens rea of principal offences;</w:t>
      </w:r>
      <w:r w:rsidR="009429A2" w:rsidRPr="00357039">
        <w:rPr>
          <w:rFonts w:ascii="Times New Roman" w:hAnsi="Times New Roman"/>
          <w:sz w:val="24"/>
          <w:vertAlign w:val="superscript"/>
        </w:rPr>
        <w:footnoteReference w:id="33"/>
      </w:r>
      <w:r w:rsidR="009429A2" w:rsidRPr="00357039">
        <w:rPr>
          <w:rFonts w:ascii="Times New Roman" w:hAnsi="Times New Roman"/>
          <w:sz w:val="24"/>
        </w:rPr>
        <w:t xml:space="preserve"> Stannard’s view </w:t>
      </w:r>
      <w:r w:rsidR="009429A2">
        <w:rPr>
          <w:rFonts w:ascii="Times New Roman" w:hAnsi="Times New Roman"/>
          <w:sz w:val="24"/>
        </w:rPr>
        <w:t xml:space="preserve">is </w:t>
      </w:r>
      <w:r w:rsidR="009429A2" w:rsidRPr="00357039">
        <w:rPr>
          <w:rFonts w:ascii="Times New Roman" w:hAnsi="Times New Roman"/>
          <w:sz w:val="24"/>
        </w:rPr>
        <w:t>that intention should only be required for ‘missing’ actus reus elements;</w:t>
      </w:r>
      <w:r w:rsidR="009429A2" w:rsidRPr="00357039">
        <w:rPr>
          <w:rFonts w:ascii="Times New Roman" w:hAnsi="Times New Roman"/>
          <w:sz w:val="24"/>
          <w:vertAlign w:val="superscript"/>
        </w:rPr>
        <w:footnoteReference w:id="34"/>
      </w:r>
      <w:r w:rsidR="009429A2" w:rsidRPr="00357039">
        <w:rPr>
          <w:rFonts w:ascii="Times New Roman" w:hAnsi="Times New Roman"/>
          <w:sz w:val="24"/>
        </w:rPr>
        <w:t xml:space="preserve"> Williams employ</w:t>
      </w:r>
      <w:r w:rsidR="009429A2">
        <w:rPr>
          <w:rFonts w:ascii="Times New Roman" w:hAnsi="Times New Roman"/>
          <w:sz w:val="24"/>
        </w:rPr>
        <w:t xml:space="preserve">s a version of </w:t>
      </w:r>
      <w:r w:rsidR="009429A2" w:rsidRPr="00357039">
        <w:rPr>
          <w:rFonts w:ascii="Times New Roman" w:hAnsi="Times New Roman"/>
          <w:sz w:val="24"/>
        </w:rPr>
        <w:t>conditional intention;</w:t>
      </w:r>
      <w:r w:rsidR="009429A2" w:rsidRPr="00357039">
        <w:rPr>
          <w:rFonts w:ascii="Times New Roman" w:hAnsi="Times New Roman"/>
          <w:sz w:val="24"/>
          <w:vertAlign w:val="superscript"/>
        </w:rPr>
        <w:footnoteReference w:id="35"/>
      </w:r>
      <w:r w:rsidR="009429A2" w:rsidRPr="00357039">
        <w:rPr>
          <w:rFonts w:ascii="Times New Roman" w:hAnsi="Times New Roman"/>
          <w:sz w:val="24"/>
        </w:rPr>
        <w:t xml:space="preserve"> </w:t>
      </w:r>
      <w:r w:rsidR="009429A2">
        <w:rPr>
          <w:rFonts w:ascii="Times New Roman" w:hAnsi="Times New Roman"/>
          <w:sz w:val="24"/>
        </w:rPr>
        <w:t xml:space="preserve"> and Duff</w:t>
      </w:r>
      <w:r w:rsidR="009429A2" w:rsidRPr="00357039">
        <w:rPr>
          <w:rFonts w:ascii="Times New Roman" w:hAnsi="Times New Roman"/>
          <w:sz w:val="24"/>
        </w:rPr>
        <w:t xml:space="preserve"> </w:t>
      </w:r>
      <w:r w:rsidR="009429A2">
        <w:rPr>
          <w:rFonts w:ascii="Times New Roman" w:hAnsi="Times New Roman"/>
          <w:sz w:val="24"/>
        </w:rPr>
        <w:t xml:space="preserve">propounds the </w:t>
      </w:r>
      <w:r w:rsidR="009429A2" w:rsidRPr="00357039">
        <w:rPr>
          <w:rFonts w:ascii="Times New Roman" w:hAnsi="Times New Roman"/>
          <w:sz w:val="24"/>
        </w:rPr>
        <w:t>semi-objectivist approach to attempts as attacks.</w:t>
      </w:r>
      <w:r w:rsidR="009429A2" w:rsidRPr="00357039">
        <w:rPr>
          <w:rFonts w:ascii="Times New Roman" w:hAnsi="Times New Roman"/>
          <w:sz w:val="24"/>
          <w:vertAlign w:val="superscript"/>
        </w:rPr>
        <w:footnoteReference w:id="36"/>
      </w:r>
      <w:r w:rsidR="009429A2">
        <w:rPr>
          <w:rFonts w:ascii="Times New Roman" w:hAnsi="Times New Roman"/>
          <w:sz w:val="24"/>
        </w:rPr>
        <w:t xml:space="preserve"> </w:t>
      </w:r>
      <w:r w:rsidR="00AC0964">
        <w:rPr>
          <w:rFonts w:ascii="Times New Roman" w:hAnsi="Times New Roman"/>
          <w:sz w:val="24"/>
        </w:rPr>
        <w:t>These and other commentators provide</w:t>
      </w:r>
      <w:r w:rsidR="009429A2">
        <w:rPr>
          <w:rFonts w:ascii="Times New Roman" w:hAnsi="Times New Roman"/>
          <w:sz w:val="24"/>
        </w:rPr>
        <w:t xml:space="preserve"> </w:t>
      </w:r>
      <w:r w:rsidR="00AC0964">
        <w:rPr>
          <w:rFonts w:ascii="Times New Roman" w:hAnsi="Times New Roman"/>
          <w:sz w:val="24"/>
        </w:rPr>
        <w:t xml:space="preserve">us with </w:t>
      </w:r>
      <w:r w:rsidR="009429A2">
        <w:rPr>
          <w:rFonts w:ascii="Times New Roman" w:hAnsi="Times New Roman"/>
          <w:sz w:val="24"/>
        </w:rPr>
        <w:t xml:space="preserve">a rich and varied body of work from which to draw inspiration in addressing </w:t>
      </w:r>
      <w:r w:rsidRPr="00357039">
        <w:rPr>
          <w:rFonts w:ascii="Times New Roman" w:hAnsi="Times New Roman"/>
          <w:sz w:val="24"/>
        </w:rPr>
        <w:t>the challenge of</w:t>
      </w:r>
      <w:r w:rsidR="009429A2">
        <w:rPr>
          <w:rFonts w:ascii="Times New Roman" w:hAnsi="Times New Roman"/>
          <w:sz w:val="24"/>
        </w:rPr>
        <w:t xml:space="preserve"> framing coherent statutory solutions</w:t>
      </w:r>
      <w:r w:rsidRPr="00357039">
        <w:rPr>
          <w:rFonts w:ascii="Times New Roman" w:hAnsi="Times New Roman"/>
          <w:sz w:val="24"/>
        </w:rPr>
        <w:t xml:space="preserve"> </w:t>
      </w:r>
      <w:r w:rsidR="009429A2">
        <w:rPr>
          <w:rFonts w:ascii="Times New Roman" w:hAnsi="Times New Roman"/>
          <w:sz w:val="24"/>
        </w:rPr>
        <w:t xml:space="preserve">to imposing </w:t>
      </w:r>
      <w:r w:rsidR="00AC0964">
        <w:rPr>
          <w:rFonts w:ascii="Times New Roman" w:hAnsi="Times New Roman"/>
          <w:sz w:val="24"/>
        </w:rPr>
        <w:t>attempt</w:t>
      </w:r>
      <w:r w:rsidRPr="00357039">
        <w:rPr>
          <w:rFonts w:ascii="Times New Roman" w:hAnsi="Times New Roman"/>
          <w:sz w:val="24"/>
        </w:rPr>
        <w:t xml:space="preserve"> liability in cases such as </w:t>
      </w:r>
      <w:r w:rsidRPr="00357039">
        <w:rPr>
          <w:rFonts w:ascii="Times New Roman" w:hAnsi="Times New Roman"/>
          <w:i/>
          <w:iCs/>
          <w:sz w:val="24"/>
        </w:rPr>
        <w:t>Khan</w:t>
      </w:r>
      <w:r w:rsidR="009429A2">
        <w:rPr>
          <w:rFonts w:ascii="Times New Roman" w:hAnsi="Times New Roman"/>
          <w:iCs/>
          <w:sz w:val="24"/>
        </w:rPr>
        <w:t>,</w:t>
      </w:r>
      <w:r w:rsidRPr="00357039">
        <w:rPr>
          <w:rFonts w:ascii="Times New Roman" w:hAnsi="Times New Roman"/>
          <w:sz w:val="24"/>
        </w:rPr>
        <w:t xml:space="preserve"> without unduly expanding the reaches of the criminal law</w:t>
      </w:r>
      <w:r w:rsidR="009429A2">
        <w:rPr>
          <w:rFonts w:ascii="Times New Roman" w:hAnsi="Times New Roman"/>
          <w:sz w:val="24"/>
        </w:rPr>
        <w:t>.</w:t>
      </w:r>
    </w:p>
    <w:p w:rsidR="00F92F16" w:rsidRDefault="00F92F16" w:rsidP="00046120">
      <w:pPr>
        <w:spacing w:line="360" w:lineRule="auto"/>
        <w:jc w:val="both"/>
        <w:rPr>
          <w:rFonts w:ascii="Times New Roman" w:hAnsi="Times New Roman"/>
          <w:b/>
          <w:sz w:val="24"/>
        </w:rPr>
      </w:pPr>
    </w:p>
    <w:p w:rsidR="00F92F16" w:rsidRDefault="00F92F16" w:rsidP="00046120">
      <w:pPr>
        <w:spacing w:line="360" w:lineRule="auto"/>
        <w:jc w:val="both"/>
        <w:rPr>
          <w:rFonts w:ascii="Times New Roman" w:hAnsi="Times New Roman"/>
          <w:b/>
          <w:sz w:val="24"/>
        </w:rPr>
      </w:pPr>
    </w:p>
    <w:p w:rsidR="00F92F16" w:rsidRDefault="00F92F16" w:rsidP="00046120">
      <w:pPr>
        <w:spacing w:line="360" w:lineRule="auto"/>
        <w:jc w:val="both"/>
        <w:rPr>
          <w:rFonts w:ascii="Times New Roman" w:hAnsi="Times New Roman"/>
          <w:b/>
          <w:sz w:val="24"/>
        </w:rPr>
      </w:pPr>
    </w:p>
    <w:p w:rsidR="00046120" w:rsidRDefault="00046120"/>
    <w:sectPr w:rsidR="0004612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92" w:rsidRDefault="00C70E92" w:rsidP="00585942">
      <w:pPr>
        <w:spacing w:after="0" w:line="240" w:lineRule="auto"/>
      </w:pPr>
      <w:r>
        <w:separator/>
      </w:r>
    </w:p>
  </w:endnote>
  <w:endnote w:type="continuationSeparator" w:id="0">
    <w:p w:rsidR="00C70E92" w:rsidRDefault="00C70E92" w:rsidP="0058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68890"/>
      <w:docPartObj>
        <w:docPartGallery w:val="Page Numbers (Bottom of Page)"/>
        <w:docPartUnique/>
      </w:docPartObj>
    </w:sdtPr>
    <w:sdtEndPr>
      <w:rPr>
        <w:noProof/>
      </w:rPr>
    </w:sdtEndPr>
    <w:sdtContent>
      <w:p w:rsidR="007C17B3" w:rsidRDefault="007C17B3">
        <w:pPr>
          <w:pStyle w:val="Footer"/>
          <w:jc w:val="center"/>
        </w:pPr>
        <w:r>
          <w:fldChar w:fldCharType="begin"/>
        </w:r>
        <w:r>
          <w:instrText xml:space="preserve"> PAGE   \* MERGEFORMAT </w:instrText>
        </w:r>
        <w:r>
          <w:fldChar w:fldCharType="separate"/>
        </w:r>
        <w:r w:rsidR="00DC1D32">
          <w:rPr>
            <w:noProof/>
          </w:rPr>
          <w:t>1</w:t>
        </w:r>
        <w:r>
          <w:rPr>
            <w:noProof/>
          </w:rPr>
          <w:fldChar w:fldCharType="end"/>
        </w:r>
      </w:p>
    </w:sdtContent>
  </w:sdt>
  <w:p w:rsidR="007C17B3" w:rsidRDefault="007C1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92" w:rsidRDefault="00C70E92" w:rsidP="00585942">
      <w:pPr>
        <w:spacing w:after="0" w:line="240" w:lineRule="auto"/>
      </w:pPr>
      <w:r>
        <w:separator/>
      </w:r>
    </w:p>
  </w:footnote>
  <w:footnote w:type="continuationSeparator" w:id="0">
    <w:p w:rsidR="00C70E92" w:rsidRDefault="00C70E92" w:rsidP="00585942">
      <w:pPr>
        <w:spacing w:after="0" w:line="240" w:lineRule="auto"/>
      </w:pPr>
      <w:r>
        <w:continuationSeparator/>
      </w:r>
    </w:p>
  </w:footnote>
  <w:footnote w:id="1">
    <w:p w:rsidR="007F71F7" w:rsidRDefault="007F71F7">
      <w:pPr>
        <w:pStyle w:val="FootnoteText"/>
      </w:pPr>
      <w:r w:rsidRPr="007F71F7">
        <w:rPr>
          <w:rStyle w:val="FootnoteReference"/>
        </w:rPr>
        <w:sym w:font="Symbol" w:char="F02A"/>
      </w:r>
      <w:r>
        <w:t xml:space="preserve"> Lecturer in Law, University of Sussex. </w:t>
      </w:r>
    </w:p>
  </w:footnote>
  <w:footnote w:id="2">
    <w:p w:rsidR="007F71F7" w:rsidRDefault="007F71F7">
      <w:pPr>
        <w:pStyle w:val="FootnoteText"/>
      </w:pPr>
      <w:r w:rsidRPr="007F71F7">
        <w:rPr>
          <w:rStyle w:val="FootnoteReference"/>
        </w:rPr>
        <w:sym w:font="Symbol" w:char="F02A"/>
      </w:r>
      <w:r>
        <w:t xml:space="preserve"> Lecturer in Law, University of Birmingham. </w:t>
      </w:r>
    </w:p>
  </w:footnote>
  <w:footnote w:id="3">
    <w:p w:rsidR="00A26F9F" w:rsidRPr="00A00C4F" w:rsidRDefault="00A26F9F" w:rsidP="00A26F9F">
      <w:pPr>
        <w:pStyle w:val="FootnoteText"/>
        <w:rPr>
          <w:lang w:val="es-ES"/>
        </w:rPr>
      </w:pPr>
      <w:r>
        <w:rPr>
          <w:rStyle w:val="FootnoteReference"/>
        </w:rPr>
        <w:footnoteRef/>
      </w:r>
      <w:r w:rsidRPr="00A00C4F">
        <w:rPr>
          <w:lang w:val="es-ES"/>
        </w:rPr>
        <w:t xml:space="preserve"> [2014] EWCA Crim 186.</w:t>
      </w:r>
    </w:p>
  </w:footnote>
  <w:footnote w:id="4">
    <w:p w:rsidR="00A26F9F" w:rsidRPr="00A00C4F" w:rsidRDefault="00A26F9F" w:rsidP="00A26F9F">
      <w:pPr>
        <w:pStyle w:val="FootnoteText"/>
        <w:rPr>
          <w:lang w:val="es-ES"/>
        </w:rPr>
      </w:pPr>
      <w:r>
        <w:rPr>
          <w:rStyle w:val="FootnoteReference"/>
        </w:rPr>
        <w:footnoteRef/>
      </w:r>
      <w:r w:rsidRPr="00A00C4F">
        <w:rPr>
          <w:lang w:val="es-ES"/>
        </w:rPr>
        <w:t xml:space="preserve"> Para 45-47 and 64. </w:t>
      </w:r>
    </w:p>
  </w:footnote>
  <w:footnote w:id="5">
    <w:p w:rsidR="00A26F9F" w:rsidRPr="00A00C4F" w:rsidRDefault="00A26F9F" w:rsidP="00A26F9F">
      <w:pPr>
        <w:pStyle w:val="FootnoteText"/>
        <w:rPr>
          <w:lang w:val="es-ES"/>
        </w:rPr>
      </w:pPr>
      <w:r>
        <w:rPr>
          <w:rStyle w:val="FootnoteReference"/>
        </w:rPr>
        <w:footnoteRef/>
      </w:r>
      <w:r w:rsidRPr="00A00C4F">
        <w:rPr>
          <w:lang w:val="es-ES"/>
        </w:rPr>
        <w:t xml:space="preserve"> Para 62. </w:t>
      </w:r>
    </w:p>
  </w:footnote>
  <w:footnote w:id="6">
    <w:p w:rsidR="00A26F9F" w:rsidRDefault="00A26F9F" w:rsidP="00A26F9F">
      <w:pPr>
        <w:pStyle w:val="FootnoteText"/>
      </w:pPr>
      <w:r>
        <w:rPr>
          <w:rStyle w:val="FootnoteReference"/>
        </w:rPr>
        <w:footnoteRef/>
      </w:r>
      <w:r>
        <w:t xml:space="preserve"> C</w:t>
      </w:r>
      <w:r w:rsidRPr="008B0FB3">
        <w:t>ontrary to section 327(1) of</w:t>
      </w:r>
      <w:r>
        <w:t xml:space="preserve"> the Proceeds of Crime Act 2002.</w:t>
      </w:r>
    </w:p>
  </w:footnote>
  <w:footnote w:id="7">
    <w:p w:rsidR="00A26F9F" w:rsidRPr="00767F37" w:rsidRDefault="00A26F9F" w:rsidP="00A26F9F">
      <w:pPr>
        <w:pStyle w:val="FootnoteText"/>
      </w:pPr>
      <w:r>
        <w:rPr>
          <w:rStyle w:val="FootnoteReference"/>
        </w:rPr>
        <w:footnoteRef/>
      </w:r>
      <w:r>
        <w:t xml:space="preserve"> If D achieved his aim (sexual penetration) then he would be straightforwardly liable for the full offence, so trying and failing looks like an attempt. </w:t>
      </w:r>
      <w:r>
        <w:rPr>
          <w:i/>
          <w:iCs/>
        </w:rPr>
        <w:t>Khan</w:t>
      </w:r>
      <w:r>
        <w:t xml:space="preserve"> </w:t>
      </w:r>
      <w:r w:rsidRPr="00767F37">
        <w:t>[1990] 1 WLR 815</w:t>
      </w:r>
      <w:r>
        <w:t>.</w:t>
      </w:r>
    </w:p>
  </w:footnote>
  <w:footnote w:id="8">
    <w:p w:rsidR="00A26F9F" w:rsidRDefault="00A26F9F" w:rsidP="00A26F9F">
      <w:pPr>
        <w:pStyle w:val="FootnoteText"/>
      </w:pPr>
      <w:r>
        <w:rPr>
          <w:rStyle w:val="FootnoteReference"/>
        </w:rPr>
        <w:footnoteRef/>
      </w:r>
      <w:r>
        <w:t xml:space="preserve"> Criminal Attempts Act 1981, s1(2). </w:t>
      </w:r>
    </w:p>
  </w:footnote>
  <w:footnote w:id="9">
    <w:p w:rsidR="00A26F9F" w:rsidRDefault="00A26F9F" w:rsidP="00A26F9F">
      <w:pPr>
        <w:pStyle w:val="FootnoteText"/>
      </w:pPr>
      <w:r>
        <w:rPr>
          <w:rStyle w:val="FootnoteReference"/>
        </w:rPr>
        <w:footnoteRef/>
      </w:r>
      <w:r>
        <w:t xml:space="preserve"> These offences have been replaced by the Fraud Act 2006, however, the illustration is still a useful one. </w:t>
      </w:r>
    </w:p>
  </w:footnote>
  <w:footnote w:id="10">
    <w:p w:rsidR="00A26F9F" w:rsidRPr="001349F7" w:rsidRDefault="00A26F9F" w:rsidP="00A26F9F">
      <w:pPr>
        <w:pStyle w:val="FootnoteText"/>
      </w:pPr>
      <w:r>
        <w:rPr>
          <w:rStyle w:val="FootnoteReference"/>
        </w:rPr>
        <w:footnoteRef/>
      </w:r>
      <w:r>
        <w:t xml:space="preserve"> Williams, ‘The Government’s proposals on criminal attempts – III’ (1981) </w:t>
      </w:r>
      <w:r>
        <w:rPr>
          <w:i/>
          <w:iCs/>
        </w:rPr>
        <w:t>NLJ</w:t>
      </w:r>
      <w:r>
        <w:t xml:space="preserve"> 128, 128-9. </w:t>
      </w:r>
    </w:p>
  </w:footnote>
  <w:footnote w:id="11">
    <w:p w:rsidR="00A26F9F" w:rsidRDefault="00A26F9F" w:rsidP="00A26F9F">
      <w:pPr>
        <w:pStyle w:val="FootnoteText"/>
      </w:pPr>
      <w:r>
        <w:rPr>
          <w:rStyle w:val="FootnoteReference"/>
        </w:rPr>
        <w:footnoteRef/>
      </w:r>
      <w:r>
        <w:t xml:space="preserve"> Law Commission, </w:t>
      </w:r>
      <w:r>
        <w:rPr>
          <w:i/>
          <w:iCs/>
        </w:rPr>
        <w:t xml:space="preserve">Attempt and Impossibility in Relation to Attempt, Conspiracy and </w:t>
      </w:r>
      <w:r w:rsidRPr="007B23F4">
        <w:t>Incitement</w:t>
      </w:r>
      <w:r>
        <w:t xml:space="preserve"> (No. 102, 1980) [2.99-100];</w:t>
      </w:r>
      <w:r w:rsidRPr="000B3914">
        <w:t xml:space="preserve"> </w:t>
      </w:r>
      <w:r>
        <w:t xml:space="preserve">Law Commission, </w:t>
      </w:r>
      <w:r w:rsidRPr="00BB1AA7">
        <w:rPr>
          <w:i/>
        </w:rPr>
        <w:t xml:space="preserve">Codification of the Criminal Law: A Report to the Law </w:t>
      </w:r>
      <w:r>
        <w:t xml:space="preserve">Commission (Law Com No 143, 1985); </w:t>
      </w:r>
      <w:r w:rsidRPr="007B23F4">
        <w:t xml:space="preserve">Williams, ‘The Government’s proposals on criminal attempts – III’ (1981) </w:t>
      </w:r>
      <w:r w:rsidRPr="007B23F4">
        <w:rPr>
          <w:i/>
          <w:iCs/>
        </w:rPr>
        <w:t>NLJ</w:t>
      </w:r>
      <w:r w:rsidRPr="007B23F4">
        <w:t xml:space="preserve"> 128</w:t>
      </w:r>
      <w:r>
        <w:t>, 128;</w:t>
      </w:r>
      <w:r w:rsidRPr="000B3914">
        <w:t xml:space="preserve"> </w:t>
      </w:r>
      <w:r>
        <w:t xml:space="preserve">Smith, ‘Rape – R v </w:t>
      </w:r>
      <w:proofErr w:type="spellStart"/>
      <w:r>
        <w:t>Pigg</w:t>
      </w:r>
      <w:proofErr w:type="spellEnd"/>
      <w:r>
        <w:t xml:space="preserve">’ (1982) </w:t>
      </w:r>
      <w:r w:rsidRPr="00E45748">
        <w:rPr>
          <w:i/>
        </w:rPr>
        <w:t>Criminal Law Review</w:t>
      </w:r>
      <w:r>
        <w:rPr>
          <w:i/>
        </w:rPr>
        <w:t>,</w:t>
      </w:r>
      <w:r>
        <w:t xml:space="preserve"> 446.</w:t>
      </w:r>
    </w:p>
  </w:footnote>
  <w:footnote w:id="12">
    <w:p w:rsidR="00A26F9F" w:rsidRPr="007B23F4" w:rsidRDefault="00A26F9F" w:rsidP="00A26F9F">
      <w:pPr>
        <w:pStyle w:val="FootnoteText"/>
      </w:pPr>
      <w:r>
        <w:rPr>
          <w:rStyle w:val="FootnoteReference"/>
        </w:rPr>
        <w:footnoteRef/>
      </w:r>
      <w:r>
        <w:t xml:space="preserve"> Law Commission, </w:t>
      </w:r>
      <w:r>
        <w:rPr>
          <w:i/>
          <w:iCs/>
        </w:rPr>
        <w:t>Inchoate Offences: Conspiracy, Attempt and Incitement</w:t>
      </w:r>
      <w:r>
        <w:t xml:space="preserve"> (Working Paper 50, 1973) [135-6];</w:t>
      </w:r>
      <w:r w:rsidRPr="00AC07C2">
        <w:t xml:space="preserve"> </w:t>
      </w:r>
      <w:r>
        <w:t xml:space="preserve">The Law Commission, </w:t>
      </w:r>
      <w:r w:rsidRPr="00BB1AA7">
        <w:rPr>
          <w:i/>
        </w:rPr>
        <w:t xml:space="preserve">A Criminal Code for England and Wales </w:t>
      </w:r>
      <w:r>
        <w:t xml:space="preserve">(Law Com No 177, 1989) [13.44-13.45]; Williams, </w:t>
      </w:r>
      <w:r>
        <w:rPr>
          <w:i/>
        </w:rPr>
        <w:t>Criminal Law: The General Part</w:t>
      </w:r>
      <w:r>
        <w:t xml:space="preserve"> (2nd Ed, Stevens and Sons, London 1961) 199.</w:t>
      </w:r>
    </w:p>
  </w:footnote>
  <w:footnote w:id="13">
    <w:p w:rsidR="00A26F9F" w:rsidRDefault="00A26F9F" w:rsidP="00A26F9F">
      <w:pPr>
        <w:pStyle w:val="FootnoteText"/>
      </w:pPr>
      <w:r>
        <w:rPr>
          <w:rStyle w:val="FootnoteReference"/>
        </w:rPr>
        <w:footnoteRef/>
      </w:r>
      <w:r>
        <w:t xml:space="preserve"> The Government’s original Bill had, contrary to the Law Commission’s recommendations, allowed for reckless as to circumstances (cl. 2). </w:t>
      </w:r>
    </w:p>
  </w:footnote>
  <w:footnote w:id="14">
    <w:p w:rsidR="00A26F9F" w:rsidRPr="00E55EC9" w:rsidRDefault="00A26F9F" w:rsidP="00A26F9F">
      <w:pPr>
        <w:pStyle w:val="FootnoteText"/>
      </w:pPr>
      <w:r>
        <w:rPr>
          <w:rStyle w:val="FootnoteReference"/>
        </w:rPr>
        <w:footnoteRef/>
      </w:r>
      <w:r>
        <w:t xml:space="preserve"> Discussed in Williams, ‘The problem of reckless attempts’ (1983) </w:t>
      </w:r>
      <w:r>
        <w:rPr>
          <w:i/>
          <w:iCs/>
        </w:rPr>
        <w:t>CrimLR</w:t>
      </w:r>
      <w:r>
        <w:t xml:space="preserve"> 365, 371. </w:t>
      </w:r>
    </w:p>
  </w:footnote>
  <w:footnote w:id="15">
    <w:p w:rsidR="00A26F9F" w:rsidRDefault="00A26F9F" w:rsidP="00A26F9F">
      <w:pPr>
        <w:pStyle w:val="FootnoteText"/>
      </w:pPr>
      <w:r>
        <w:rPr>
          <w:rStyle w:val="FootnoteReference"/>
        </w:rPr>
        <w:footnoteRef/>
      </w:r>
      <w:r>
        <w:t xml:space="preserve"> Criminal Law Act 1977, s1(2). </w:t>
      </w:r>
    </w:p>
  </w:footnote>
  <w:footnote w:id="16">
    <w:p w:rsidR="00A26F9F" w:rsidRDefault="00A26F9F" w:rsidP="00A26F9F">
      <w:pPr>
        <w:pStyle w:val="FootnoteText"/>
      </w:pPr>
      <w:r>
        <w:rPr>
          <w:rStyle w:val="FootnoteReference"/>
        </w:rPr>
        <w:footnoteRef/>
      </w:r>
      <w:r>
        <w:t xml:space="preserve"> </w:t>
      </w:r>
      <w:r w:rsidRPr="007F0849">
        <w:t xml:space="preserve">Law Commission, </w:t>
      </w:r>
      <w:r w:rsidRPr="007F0849">
        <w:rPr>
          <w:i/>
        </w:rPr>
        <w:t>Conspiracy and Attempts</w:t>
      </w:r>
      <w:r w:rsidRPr="007F0849">
        <w:t xml:space="preserve"> (Law Com No 318, 2009)</w:t>
      </w:r>
      <w:r>
        <w:t xml:space="preserve">. </w:t>
      </w:r>
    </w:p>
  </w:footnote>
  <w:footnote w:id="17">
    <w:p w:rsidR="00A26F9F" w:rsidRDefault="00A26F9F" w:rsidP="00A26F9F">
      <w:pPr>
        <w:pStyle w:val="FootnoteText"/>
      </w:pPr>
      <w:r>
        <w:rPr>
          <w:rStyle w:val="FootnoteReference"/>
        </w:rPr>
        <w:footnoteRef/>
      </w:r>
      <w:r>
        <w:t xml:space="preserve"> The mens rea of ‘suspicion’ being sufficient for the principal offence:</w:t>
      </w:r>
      <w:r w:rsidRPr="00381134">
        <w:t xml:space="preserve"> PCA 2002</w:t>
      </w:r>
      <w:r>
        <w:t xml:space="preserve">, </w:t>
      </w:r>
      <w:r w:rsidRPr="00381134">
        <w:t>340(3)(b)</w:t>
      </w:r>
      <w:r>
        <w:t>.</w:t>
      </w:r>
      <w:r w:rsidRPr="00381134">
        <w:t xml:space="preserve"> </w:t>
      </w:r>
    </w:p>
  </w:footnote>
  <w:footnote w:id="18">
    <w:p w:rsidR="00B7659D" w:rsidRPr="00B7659D" w:rsidRDefault="00B7659D">
      <w:pPr>
        <w:pStyle w:val="FootnoteText"/>
      </w:pPr>
      <w:r>
        <w:rPr>
          <w:rStyle w:val="FootnoteReference"/>
        </w:rPr>
        <w:footnoteRef/>
      </w:r>
      <w:r>
        <w:t xml:space="preserve"> Para 52. The court also stress that </w:t>
      </w:r>
      <w:r>
        <w:rPr>
          <w:i/>
          <w:iCs/>
        </w:rPr>
        <w:t>Khan</w:t>
      </w:r>
      <w:r>
        <w:t xml:space="preserve"> was not intended to create a general rule. However, if we are to isolate </w:t>
      </w:r>
      <w:r>
        <w:rPr>
          <w:i/>
          <w:iCs/>
        </w:rPr>
        <w:t xml:space="preserve">Khan </w:t>
      </w:r>
      <w:r>
        <w:t xml:space="preserve">to its facts, it would be better to remove the precedent entirely: unless it can be shown that attempted rape involves a different wrong from other attempt cases. </w:t>
      </w:r>
    </w:p>
  </w:footnote>
  <w:footnote w:id="19">
    <w:p w:rsidR="00962112" w:rsidRDefault="00962112" w:rsidP="00962112">
      <w:pPr>
        <w:pStyle w:val="FootnoteText"/>
      </w:pPr>
      <w:r>
        <w:rPr>
          <w:rStyle w:val="FootnoteReference"/>
        </w:rPr>
        <w:footnoteRef/>
      </w:r>
      <w:r w:rsidRPr="00B7659D">
        <w:t xml:space="preserve"> Para 62 (emphasis added). </w:t>
      </w:r>
      <w:r>
        <w:t xml:space="preserve">See also </w:t>
      </w:r>
      <w:proofErr w:type="spellStart"/>
      <w:r>
        <w:t>paras</w:t>
      </w:r>
      <w:proofErr w:type="spellEnd"/>
      <w:r>
        <w:t xml:space="preserve"> 46-47.  </w:t>
      </w:r>
    </w:p>
  </w:footnote>
  <w:footnote w:id="20">
    <w:p w:rsidR="00962112" w:rsidRDefault="00962112" w:rsidP="00962112">
      <w:pPr>
        <w:pStyle w:val="FootnoteText"/>
      </w:pPr>
      <w:r>
        <w:rPr>
          <w:rStyle w:val="FootnoteReference"/>
        </w:rPr>
        <w:footnoteRef/>
      </w:r>
      <w:r>
        <w:t xml:space="preserve"> Page 819. </w:t>
      </w:r>
    </w:p>
  </w:footnote>
  <w:footnote w:id="21">
    <w:p w:rsidR="00962112" w:rsidRPr="00CF53FC" w:rsidRDefault="00962112" w:rsidP="00962112">
      <w:pPr>
        <w:pStyle w:val="FootnoteText"/>
      </w:pPr>
      <w:r>
        <w:rPr>
          <w:rStyle w:val="FootnoteReference"/>
        </w:rPr>
        <w:footnoteRef/>
      </w:r>
      <w:r>
        <w:t xml:space="preserve"> For a discussion of the importance of a unified view of the wrongs of inchoate liability, see </w:t>
      </w:r>
      <w:r w:rsidRPr="00CF53FC">
        <w:t xml:space="preserve">Child and Hunt, 'Mens rea and the general inchoate offences: another new culpability framework' (2012) </w:t>
      </w:r>
      <w:r w:rsidRPr="00CF53FC">
        <w:rPr>
          <w:i/>
          <w:iCs/>
        </w:rPr>
        <w:t>NILQ</w:t>
      </w:r>
      <w:r w:rsidRPr="00CF53FC">
        <w:t xml:space="preserve"> 245</w:t>
      </w:r>
      <w:r>
        <w:t xml:space="preserve">; </w:t>
      </w:r>
      <w:proofErr w:type="spellStart"/>
      <w:r>
        <w:t>Enker</w:t>
      </w:r>
      <w:proofErr w:type="spellEnd"/>
      <w:r>
        <w:t xml:space="preserve">, ‘Mens rea and criminal attempt’ (1977) </w:t>
      </w:r>
      <w:proofErr w:type="spellStart"/>
      <w:r>
        <w:rPr>
          <w:i/>
          <w:iCs/>
        </w:rPr>
        <w:t>AmBFoundResJ</w:t>
      </w:r>
      <w:proofErr w:type="spellEnd"/>
      <w:r>
        <w:t xml:space="preserve"> 845. </w:t>
      </w:r>
    </w:p>
  </w:footnote>
  <w:footnote w:id="22">
    <w:p w:rsidR="00962112" w:rsidRDefault="00962112" w:rsidP="00962112">
      <w:pPr>
        <w:pStyle w:val="FootnoteText"/>
      </w:pPr>
      <w:r>
        <w:rPr>
          <w:rStyle w:val="FootnoteReference"/>
        </w:rPr>
        <w:footnoteRef/>
      </w:r>
      <w:r>
        <w:t xml:space="preserve"> Para 61-62. </w:t>
      </w:r>
    </w:p>
  </w:footnote>
  <w:footnote w:id="23">
    <w:p w:rsidR="00962112" w:rsidRDefault="00962112" w:rsidP="00962112">
      <w:pPr>
        <w:pStyle w:val="FootnoteText"/>
      </w:pPr>
      <w:r>
        <w:rPr>
          <w:rStyle w:val="FootnoteReference"/>
        </w:rPr>
        <w:footnoteRef/>
      </w:r>
      <w:r>
        <w:t xml:space="preserve"> Para 45. </w:t>
      </w:r>
    </w:p>
  </w:footnote>
  <w:footnote w:id="24">
    <w:p w:rsidR="00962112" w:rsidRDefault="00962112" w:rsidP="00962112">
      <w:pPr>
        <w:pStyle w:val="FootnoteText"/>
      </w:pPr>
      <w:r>
        <w:rPr>
          <w:rStyle w:val="FootnoteReference"/>
        </w:rPr>
        <w:footnoteRef/>
      </w:r>
      <w:r>
        <w:t xml:space="preserve"> Para 45. See also Buxton, ‘Circumstances, consequences and attempted rape’ (1984) </w:t>
      </w:r>
      <w:r>
        <w:rPr>
          <w:i/>
          <w:iCs/>
        </w:rPr>
        <w:t>CrimLR</w:t>
      </w:r>
      <w:r>
        <w:t xml:space="preserve"> 25. </w:t>
      </w:r>
    </w:p>
  </w:footnote>
  <w:footnote w:id="25">
    <w:p w:rsidR="00962112" w:rsidRDefault="00962112" w:rsidP="00962112">
      <w:pPr>
        <w:pStyle w:val="FootnoteText"/>
      </w:pPr>
      <w:r>
        <w:rPr>
          <w:rStyle w:val="FootnoteReference"/>
        </w:rPr>
        <w:footnoteRef/>
      </w:r>
      <w:r>
        <w:t xml:space="preserve"> Paras 65-75. </w:t>
      </w:r>
    </w:p>
  </w:footnote>
  <w:footnote w:id="26">
    <w:p w:rsidR="008C54EE" w:rsidRDefault="008C54EE" w:rsidP="008C54EE">
      <w:pPr>
        <w:pStyle w:val="FootnoteText"/>
      </w:pPr>
      <w:r>
        <w:rPr>
          <w:rStyle w:val="FootnoteReference"/>
        </w:rPr>
        <w:footnoteRef/>
      </w:r>
      <w:r>
        <w:t xml:space="preserve"> Williams, ‘The Government’s proposals on criminal attempts – III’ (1981) </w:t>
      </w:r>
      <w:r>
        <w:rPr>
          <w:i/>
          <w:iCs/>
        </w:rPr>
        <w:t>NLJ</w:t>
      </w:r>
      <w:r>
        <w:t xml:space="preserve"> 128, 129. As the author states, ‘It would often be hard to decide whether an attempt that did not succeed was capable of succeeding.’</w:t>
      </w:r>
    </w:p>
  </w:footnote>
  <w:footnote w:id="27">
    <w:p w:rsidR="00F92F16" w:rsidRDefault="00F92F16" w:rsidP="00F92F16">
      <w:pPr>
        <w:pStyle w:val="FootnoteText"/>
      </w:pPr>
      <w:r>
        <w:rPr>
          <w:rStyle w:val="FootnoteReference"/>
        </w:rPr>
        <w:footnoteRef/>
      </w:r>
      <w:r>
        <w:t xml:space="preserve"> </w:t>
      </w:r>
      <w:r w:rsidRPr="007F0849">
        <w:t xml:space="preserve">Law Commission, </w:t>
      </w:r>
      <w:r w:rsidRPr="007F0849">
        <w:rPr>
          <w:i/>
        </w:rPr>
        <w:t>Conspiracy and Attempts</w:t>
      </w:r>
      <w:r w:rsidRPr="007F0849">
        <w:t xml:space="preserve"> (Law Com No 318, 2009)</w:t>
      </w:r>
      <w:r>
        <w:t xml:space="preserve">. </w:t>
      </w:r>
    </w:p>
  </w:footnote>
  <w:footnote w:id="28">
    <w:p w:rsidR="00F92F16" w:rsidRDefault="00F92F16" w:rsidP="00F92F16">
      <w:pPr>
        <w:pStyle w:val="FootnoteText"/>
      </w:pPr>
      <w:r>
        <w:rPr>
          <w:rStyle w:val="FootnoteReference"/>
        </w:rPr>
        <w:footnoteRef/>
      </w:r>
      <w:r>
        <w:t xml:space="preserve"> </w:t>
      </w:r>
      <w:r w:rsidRPr="00CF53FC">
        <w:t xml:space="preserve">Child and Hunt, 'Mens rea and the general inchoate offences: another new culpability framework' (2012) </w:t>
      </w:r>
      <w:r w:rsidRPr="00CF53FC">
        <w:rPr>
          <w:i/>
          <w:iCs/>
        </w:rPr>
        <w:t>NILQ</w:t>
      </w:r>
      <w:r w:rsidRPr="00CF53FC">
        <w:t xml:space="preserve"> 245</w:t>
      </w:r>
      <w:r>
        <w:t xml:space="preserve">. </w:t>
      </w:r>
    </w:p>
  </w:footnote>
  <w:footnote w:id="29">
    <w:p w:rsidR="00357039" w:rsidRDefault="00357039" w:rsidP="00357039">
      <w:pPr>
        <w:pStyle w:val="FootnoteText"/>
      </w:pPr>
      <w:r>
        <w:rPr>
          <w:rStyle w:val="FootnoteReference"/>
        </w:rPr>
        <w:footnoteRef/>
      </w:r>
      <w:r>
        <w:t xml:space="preserve"> See, for example, Ormerod, </w:t>
      </w:r>
      <w:r>
        <w:rPr>
          <w:i/>
          <w:iCs/>
        </w:rPr>
        <w:t>Smith and Hogan’s Criminal Law</w:t>
      </w:r>
      <w:r>
        <w:t xml:space="preserve"> (13</w:t>
      </w:r>
      <w:r w:rsidRPr="00195BF5">
        <w:rPr>
          <w:vertAlign w:val="superscript"/>
        </w:rPr>
        <w:t>th</w:t>
      </w:r>
      <w:r>
        <w:t xml:space="preserve"> </w:t>
      </w:r>
      <w:proofErr w:type="spellStart"/>
      <w:r>
        <w:t>ed</w:t>
      </w:r>
      <w:proofErr w:type="spellEnd"/>
      <w:r>
        <w:t xml:space="preserve">, 2011) 407.  </w:t>
      </w:r>
    </w:p>
  </w:footnote>
  <w:footnote w:id="30">
    <w:p w:rsidR="00357039" w:rsidRDefault="00357039" w:rsidP="00357039">
      <w:pPr>
        <w:pStyle w:val="FootnoteText"/>
      </w:pPr>
      <w:r>
        <w:rPr>
          <w:rStyle w:val="FootnoteReference"/>
        </w:rPr>
        <w:footnoteRef/>
      </w:r>
      <w:r>
        <w:t xml:space="preserve"> Sexual assault for example: Sexual Offences Act 2003, s3. </w:t>
      </w:r>
    </w:p>
  </w:footnote>
  <w:footnote w:id="31">
    <w:p w:rsidR="00122204" w:rsidRDefault="00122204" w:rsidP="00122204">
      <w:pPr>
        <w:pStyle w:val="FootnoteText"/>
      </w:pPr>
      <w:r>
        <w:rPr>
          <w:rStyle w:val="FootnoteReference"/>
        </w:rPr>
        <w:footnoteRef/>
      </w:r>
      <w:r>
        <w:t xml:space="preserve"> </w:t>
      </w:r>
      <w:r w:rsidRPr="00221604">
        <w:rPr>
          <w:bCs/>
        </w:rPr>
        <w:t xml:space="preserve">Child and Hunt, 'Mens rea and the general inchoate offences: another new culpability framework' (2012) </w:t>
      </w:r>
      <w:r w:rsidRPr="00221604">
        <w:rPr>
          <w:bCs/>
          <w:i/>
          <w:iCs/>
        </w:rPr>
        <w:t>NILQ</w:t>
      </w:r>
      <w:r w:rsidRPr="00221604">
        <w:rPr>
          <w:bCs/>
        </w:rPr>
        <w:t xml:space="preserve"> 245</w:t>
      </w:r>
      <w:r>
        <w:rPr>
          <w:bCs/>
        </w:rPr>
        <w:t>.</w:t>
      </w:r>
    </w:p>
  </w:footnote>
  <w:footnote w:id="32">
    <w:p w:rsidR="009429A2" w:rsidRDefault="009429A2" w:rsidP="009429A2">
      <w:pPr>
        <w:pStyle w:val="FootnoteText"/>
      </w:pPr>
      <w:r>
        <w:rPr>
          <w:rStyle w:val="FootnoteReference"/>
        </w:rPr>
        <w:footnoteRef/>
      </w:r>
      <w:r>
        <w:t xml:space="preserve"> </w:t>
      </w:r>
      <w:r w:rsidRPr="00221604">
        <w:rPr>
          <w:bCs/>
        </w:rPr>
        <w:t xml:space="preserve">Law Commission, </w:t>
      </w:r>
      <w:r w:rsidRPr="00221604">
        <w:rPr>
          <w:bCs/>
          <w:i/>
          <w:iCs/>
        </w:rPr>
        <w:t xml:space="preserve">Conspiracy and Attempts </w:t>
      </w:r>
      <w:r w:rsidRPr="00221604">
        <w:rPr>
          <w:bCs/>
        </w:rPr>
        <w:t>(Law Com No. 318, 2009)</w:t>
      </w:r>
      <w:r>
        <w:rPr>
          <w:bCs/>
        </w:rPr>
        <w:t>.</w:t>
      </w:r>
    </w:p>
  </w:footnote>
  <w:footnote w:id="33">
    <w:p w:rsidR="009429A2" w:rsidRDefault="009429A2" w:rsidP="009429A2">
      <w:pPr>
        <w:pStyle w:val="FootnoteText"/>
      </w:pPr>
      <w:r>
        <w:rPr>
          <w:rStyle w:val="FootnoteReference"/>
        </w:rPr>
        <w:footnoteRef/>
      </w:r>
      <w:r>
        <w:t xml:space="preserve"> </w:t>
      </w:r>
      <w:r w:rsidRPr="00221604">
        <w:rPr>
          <w:bCs/>
        </w:rPr>
        <w:t xml:space="preserve">Irish Law Reform Commission, </w:t>
      </w:r>
      <w:r w:rsidRPr="00221604">
        <w:rPr>
          <w:bCs/>
          <w:i/>
          <w:iCs/>
        </w:rPr>
        <w:t>Report on Inchoate Offences</w:t>
      </w:r>
      <w:r w:rsidRPr="00221604">
        <w:rPr>
          <w:bCs/>
        </w:rPr>
        <w:t xml:space="preserve"> (No. 99, 2010)</w:t>
      </w:r>
      <w:r>
        <w:rPr>
          <w:bCs/>
        </w:rPr>
        <w:t>.</w:t>
      </w:r>
    </w:p>
  </w:footnote>
  <w:footnote w:id="34">
    <w:p w:rsidR="009429A2" w:rsidRDefault="009429A2" w:rsidP="009429A2">
      <w:pPr>
        <w:pStyle w:val="FootnoteText"/>
      </w:pPr>
      <w:r>
        <w:rPr>
          <w:rStyle w:val="FootnoteReference"/>
        </w:rPr>
        <w:footnoteRef/>
      </w:r>
      <w:r>
        <w:t xml:space="preserve"> </w:t>
      </w:r>
      <w:r w:rsidRPr="00221604">
        <w:t xml:space="preserve">Stannard, ‘Making up for the missing element – a sideways look at attempts’ (1987) </w:t>
      </w:r>
      <w:r w:rsidRPr="00221604">
        <w:rPr>
          <w:i/>
          <w:iCs/>
        </w:rPr>
        <w:t>Legal Studies</w:t>
      </w:r>
      <w:r w:rsidRPr="00221604">
        <w:t>, 194</w:t>
      </w:r>
      <w:r>
        <w:t>.</w:t>
      </w:r>
    </w:p>
  </w:footnote>
  <w:footnote w:id="35">
    <w:p w:rsidR="009429A2" w:rsidRDefault="009429A2" w:rsidP="009429A2">
      <w:pPr>
        <w:pStyle w:val="FootnoteText"/>
      </w:pPr>
      <w:r>
        <w:rPr>
          <w:rStyle w:val="FootnoteReference"/>
        </w:rPr>
        <w:footnoteRef/>
      </w:r>
      <w:r>
        <w:t xml:space="preserve"> </w:t>
      </w:r>
      <w:r w:rsidRPr="00221604">
        <w:rPr>
          <w:bCs/>
        </w:rPr>
        <w:t>Williams,</w:t>
      </w:r>
      <w:r w:rsidRPr="00221604">
        <w:t xml:space="preserve"> </w:t>
      </w:r>
      <w:r w:rsidRPr="00221604">
        <w:rPr>
          <w:bCs/>
        </w:rPr>
        <w:t xml:space="preserve">‘Intents in the alternative’ (1991) </w:t>
      </w:r>
      <w:r w:rsidRPr="00221604">
        <w:rPr>
          <w:bCs/>
          <w:i/>
          <w:iCs/>
        </w:rPr>
        <w:t>CLJ</w:t>
      </w:r>
      <w:r w:rsidRPr="00221604">
        <w:rPr>
          <w:bCs/>
        </w:rPr>
        <w:t>, 120</w:t>
      </w:r>
      <w:r>
        <w:rPr>
          <w:bCs/>
        </w:rPr>
        <w:t>.</w:t>
      </w:r>
    </w:p>
  </w:footnote>
  <w:footnote w:id="36">
    <w:p w:rsidR="009429A2" w:rsidRPr="00254DF9" w:rsidRDefault="009429A2" w:rsidP="009429A2">
      <w:pPr>
        <w:pStyle w:val="FootnoteText"/>
      </w:pPr>
      <w:r>
        <w:rPr>
          <w:rStyle w:val="FootnoteReference"/>
        </w:rPr>
        <w:footnoteRef/>
      </w:r>
      <w:r>
        <w:t xml:space="preserve"> Duff, </w:t>
      </w:r>
      <w:r>
        <w:rPr>
          <w:i/>
          <w:iCs/>
        </w:rPr>
        <w:t>Criminal Attempts</w:t>
      </w:r>
      <w:r>
        <w:t xml:space="preserve"> (1996).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44DBE"/>
    <w:multiLevelType w:val="hybridMultilevel"/>
    <w:tmpl w:val="BCB8891E"/>
    <w:lvl w:ilvl="0" w:tplc="D910D74A">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42"/>
    <w:rsid w:val="0000415D"/>
    <w:rsid w:val="00046120"/>
    <w:rsid w:val="0005419B"/>
    <w:rsid w:val="00060110"/>
    <w:rsid w:val="00065EAB"/>
    <w:rsid w:val="000D7409"/>
    <w:rsid w:val="000E1BFA"/>
    <w:rsid w:val="00122204"/>
    <w:rsid w:val="00130681"/>
    <w:rsid w:val="0013495C"/>
    <w:rsid w:val="00174688"/>
    <w:rsid w:val="001B33B2"/>
    <w:rsid w:val="001C5ED7"/>
    <w:rsid w:val="001D283F"/>
    <w:rsid w:val="001F518C"/>
    <w:rsid w:val="00214BD3"/>
    <w:rsid w:val="00357039"/>
    <w:rsid w:val="00386360"/>
    <w:rsid w:val="003A22CA"/>
    <w:rsid w:val="003A24CD"/>
    <w:rsid w:val="003E448F"/>
    <w:rsid w:val="00424DD7"/>
    <w:rsid w:val="00474920"/>
    <w:rsid w:val="00477A86"/>
    <w:rsid w:val="004809FB"/>
    <w:rsid w:val="004929FF"/>
    <w:rsid w:val="004C14BB"/>
    <w:rsid w:val="00510410"/>
    <w:rsid w:val="00521115"/>
    <w:rsid w:val="00553AD7"/>
    <w:rsid w:val="00573C8D"/>
    <w:rsid w:val="00585942"/>
    <w:rsid w:val="005A6F94"/>
    <w:rsid w:val="00644BAB"/>
    <w:rsid w:val="00675280"/>
    <w:rsid w:val="006936AD"/>
    <w:rsid w:val="006A699B"/>
    <w:rsid w:val="006C4A96"/>
    <w:rsid w:val="006C5928"/>
    <w:rsid w:val="0073158B"/>
    <w:rsid w:val="00754910"/>
    <w:rsid w:val="007555A4"/>
    <w:rsid w:val="007620E9"/>
    <w:rsid w:val="007A1B2E"/>
    <w:rsid w:val="007A4363"/>
    <w:rsid w:val="007B5088"/>
    <w:rsid w:val="007C17B3"/>
    <w:rsid w:val="007F71F7"/>
    <w:rsid w:val="00804809"/>
    <w:rsid w:val="00817269"/>
    <w:rsid w:val="00866688"/>
    <w:rsid w:val="008C54EE"/>
    <w:rsid w:val="008E5DE1"/>
    <w:rsid w:val="009429A2"/>
    <w:rsid w:val="00962112"/>
    <w:rsid w:val="00973D30"/>
    <w:rsid w:val="00973EC7"/>
    <w:rsid w:val="009925EB"/>
    <w:rsid w:val="009B2960"/>
    <w:rsid w:val="009C3BBA"/>
    <w:rsid w:val="009F42BC"/>
    <w:rsid w:val="009F7EFB"/>
    <w:rsid w:val="00A00C4F"/>
    <w:rsid w:val="00A26F9F"/>
    <w:rsid w:val="00A96F5C"/>
    <w:rsid w:val="00AA3183"/>
    <w:rsid w:val="00AC0964"/>
    <w:rsid w:val="00AE26F1"/>
    <w:rsid w:val="00B25ACE"/>
    <w:rsid w:val="00B64D84"/>
    <w:rsid w:val="00B7659D"/>
    <w:rsid w:val="00B854F6"/>
    <w:rsid w:val="00BB547E"/>
    <w:rsid w:val="00C25DF9"/>
    <w:rsid w:val="00C44893"/>
    <w:rsid w:val="00C70E92"/>
    <w:rsid w:val="00CE7845"/>
    <w:rsid w:val="00D478B5"/>
    <w:rsid w:val="00DA464F"/>
    <w:rsid w:val="00DC1D32"/>
    <w:rsid w:val="00E1477E"/>
    <w:rsid w:val="00E174DC"/>
    <w:rsid w:val="00E50739"/>
    <w:rsid w:val="00E521F0"/>
    <w:rsid w:val="00E56C94"/>
    <w:rsid w:val="00E731FB"/>
    <w:rsid w:val="00EA24FC"/>
    <w:rsid w:val="00EA5B6C"/>
    <w:rsid w:val="00F24058"/>
    <w:rsid w:val="00F45BD7"/>
    <w:rsid w:val="00F92F16"/>
    <w:rsid w:val="00FF295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5942"/>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85942"/>
    <w:rPr>
      <w:rFonts w:ascii="Times New Roman" w:hAnsi="Times New Roman"/>
      <w:sz w:val="20"/>
      <w:szCs w:val="20"/>
    </w:rPr>
  </w:style>
  <w:style w:type="character" w:styleId="FootnoteReference">
    <w:name w:val="footnote reference"/>
    <w:basedOn w:val="DefaultParagraphFont"/>
    <w:uiPriority w:val="99"/>
    <w:semiHidden/>
    <w:unhideWhenUsed/>
    <w:rsid w:val="00585942"/>
    <w:rPr>
      <w:vertAlign w:val="superscript"/>
    </w:rPr>
  </w:style>
  <w:style w:type="paragraph" w:styleId="ListParagraph">
    <w:name w:val="List Paragraph"/>
    <w:basedOn w:val="Normal"/>
    <w:uiPriority w:val="34"/>
    <w:qFormat/>
    <w:rsid w:val="006A699B"/>
    <w:pPr>
      <w:ind w:left="720"/>
      <w:contextualSpacing/>
    </w:pPr>
  </w:style>
  <w:style w:type="paragraph" w:styleId="BalloonText">
    <w:name w:val="Balloon Text"/>
    <w:basedOn w:val="Normal"/>
    <w:link w:val="BalloonTextChar"/>
    <w:uiPriority w:val="99"/>
    <w:semiHidden/>
    <w:unhideWhenUsed/>
    <w:rsid w:val="001B33B2"/>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1B33B2"/>
    <w:rPr>
      <w:rFonts w:ascii="Calibri" w:hAnsi="Calibri" w:cs="Calibri"/>
      <w:sz w:val="16"/>
      <w:szCs w:val="16"/>
    </w:rPr>
  </w:style>
  <w:style w:type="paragraph" w:styleId="Header">
    <w:name w:val="header"/>
    <w:basedOn w:val="Normal"/>
    <w:link w:val="HeaderChar"/>
    <w:uiPriority w:val="99"/>
    <w:unhideWhenUsed/>
    <w:rsid w:val="007C1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7B3"/>
  </w:style>
  <w:style w:type="paragraph" w:styleId="Footer">
    <w:name w:val="footer"/>
    <w:basedOn w:val="Normal"/>
    <w:link w:val="FooterChar"/>
    <w:uiPriority w:val="99"/>
    <w:unhideWhenUsed/>
    <w:rsid w:val="007C1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7B3"/>
  </w:style>
  <w:style w:type="paragraph" w:styleId="Revision">
    <w:name w:val="Revision"/>
    <w:hidden/>
    <w:uiPriority w:val="99"/>
    <w:semiHidden/>
    <w:rsid w:val="00A00C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5942"/>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85942"/>
    <w:rPr>
      <w:rFonts w:ascii="Times New Roman" w:hAnsi="Times New Roman"/>
      <w:sz w:val="20"/>
      <w:szCs w:val="20"/>
    </w:rPr>
  </w:style>
  <w:style w:type="character" w:styleId="FootnoteReference">
    <w:name w:val="footnote reference"/>
    <w:basedOn w:val="DefaultParagraphFont"/>
    <w:uiPriority w:val="99"/>
    <w:semiHidden/>
    <w:unhideWhenUsed/>
    <w:rsid w:val="00585942"/>
    <w:rPr>
      <w:vertAlign w:val="superscript"/>
    </w:rPr>
  </w:style>
  <w:style w:type="paragraph" w:styleId="ListParagraph">
    <w:name w:val="List Paragraph"/>
    <w:basedOn w:val="Normal"/>
    <w:uiPriority w:val="34"/>
    <w:qFormat/>
    <w:rsid w:val="006A699B"/>
    <w:pPr>
      <w:ind w:left="720"/>
      <w:contextualSpacing/>
    </w:pPr>
  </w:style>
  <w:style w:type="paragraph" w:styleId="BalloonText">
    <w:name w:val="Balloon Text"/>
    <w:basedOn w:val="Normal"/>
    <w:link w:val="BalloonTextChar"/>
    <w:uiPriority w:val="99"/>
    <w:semiHidden/>
    <w:unhideWhenUsed/>
    <w:rsid w:val="001B33B2"/>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1B33B2"/>
    <w:rPr>
      <w:rFonts w:ascii="Calibri" w:hAnsi="Calibri" w:cs="Calibri"/>
      <w:sz w:val="16"/>
      <w:szCs w:val="16"/>
    </w:rPr>
  </w:style>
  <w:style w:type="paragraph" w:styleId="Header">
    <w:name w:val="header"/>
    <w:basedOn w:val="Normal"/>
    <w:link w:val="HeaderChar"/>
    <w:uiPriority w:val="99"/>
    <w:unhideWhenUsed/>
    <w:rsid w:val="007C1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7B3"/>
  </w:style>
  <w:style w:type="paragraph" w:styleId="Footer">
    <w:name w:val="footer"/>
    <w:basedOn w:val="Normal"/>
    <w:link w:val="FooterChar"/>
    <w:uiPriority w:val="99"/>
    <w:unhideWhenUsed/>
    <w:rsid w:val="007C1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7B3"/>
  </w:style>
  <w:style w:type="paragraph" w:styleId="Revision">
    <w:name w:val="Revision"/>
    <w:hidden/>
    <w:uiPriority w:val="99"/>
    <w:semiHidden/>
    <w:rsid w:val="00A00C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0BFB-145A-4E09-98C8-C8F3E1D1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BBDCAB15</Template>
  <TotalTime>0</TotalTime>
  <Pages>7</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callocaladmin</dc:creator>
  <cp:lastModifiedBy>John Child</cp:lastModifiedBy>
  <cp:revision>6</cp:revision>
  <cp:lastPrinted>2014-03-18T21:58:00Z</cp:lastPrinted>
  <dcterms:created xsi:type="dcterms:W3CDTF">2014-03-19T11:17:00Z</dcterms:created>
  <dcterms:modified xsi:type="dcterms:W3CDTF">2014-05-14T08:49:00Z</dcterms:modified>
</cp:coreProperties>
</file>